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Winter Sale — CRM Campaign Brief</w:t>
      </w:r>
    </w:p>
    <w:p>
      <w:pPr>
        <w:spacing w:before="40" w:after="80" w:line="259" w:lineRule="auto"/>
      </w:pPr>
      <w:r>
        <w:rPr>
          <w:rFonts w:ascii="Calibri" w:hAnsi="Calibri"/>
          <w:b/>
          <w:i/>
          <w:color w:val="B08D57"/>
          <w:sz w:val="20"/>
        </w:rPr>
        <w:t>HALDEN &amp; ROE  ·  Triggered Email Flow  ·  Winter FY26</w:t>
      </w:r>
    </w:p>
    <w:p>
      <w:pPr>
        <w:spacing w:after="120"/>
        <w:pBdr>
          <w:bottom w:val="single" w:sz="12" w:space="1" w:color="5A2A4D"/>
        </w:pBdr>
      </w:pPr>
    </w:p>
    <w:p>
      <w:pPr>
        <w:pStyle w:val="Heading1"/>
        <w:keepNext/>
      </w:pPr>
      <w:r>
        <w:t>1.  Campaign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2520"/>
        <w:gridCol w:w="6983"/>
      </w:tblGrid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Campaign name</w:t>
            </w:r>
          </w:p>
        </w:tc>
        <w:tc>
          <w:tcPr>
            <w:tcW w:type="dxa" w:w="698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Winter Sale — “The Winter Edit”</w:t>
            </w:r>
          </w:p>
        </w:tc>
      </w:tr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Objective</w:t>
            </w:r>
          </w:p>
        </w:tc>
        <w:tc>
          <w:tcPr>
            <w:tcW w:type="dxa" w:w="698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Clear Q1 winter stock and reactivate lapsed VIPs — deliver €480K attributed revenue in an 18-day window.</w:t>
            </w:r>
          </w:p>
        </w:tc>
      </w:tr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Channel</w:t>
            </w:r>
          </w:p>
        </w:tc>
        <w:tc>
          <w:tcPr>
            <w:tcW w:type="dxa" w:w="698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Email / CRM — triggered lifecycle flow (ESP-native, no paid media).</w:t>
            </w:r>
          </w:p>
        </w:tc>
      </w:tr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Sale window</w:t>
            </w:r>
          </w:p>
        </w:tc>
        <w:tc>
          <w:tcPr>
            <w:tcW w:type="dxa" w:w="698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Fri 26 Dec 2025 → Mon 12 Jan 2026 (18 days); final-72h tier from 09 Jan.</w:t>
            </w:r>
          </w:p>
        </w:tc>
      </w:tr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Discount mechanic</w:t>
            </w:r>
          </w:p>
        </w:tc>
        <w:tc>
          <w:tcPr>
            <w:tcW w:type="dxa" w:w="698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Up to 40% off, tiered: 20% launch → 30% mid → 40% final 72h. VIP early access unlocks an extra 10%.</w:t>
            </w:r>
          </w:p>
        </w:tc>
      </w:tr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Budget</w:t>
            </w:r>
          </w:p>
        </w:tc>
        <w:tc>
          <w:tcPr>
            <w:tcW w:type="dxa" w:w="698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€14,500 — ESP send volume, creative production, incentive-margin reserve.</w:t>
            </w:r>
          </w:p>
        </w:tc>
      </w:tr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Owner / approver</w:t>
            </w:r>
          </w:p>
        </w:tc>
        <w:tc>
          <w:tcPr>
            <w:tcW w:type="dxa" w:w="698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CRM Lead, J. Marlowe  ·  Approver: Head of Ecommerce, P. Adeyemi.</w:t>
            </w:r>
          </w:p>
        </w:tc>
      </w:tr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Headline KPIs</w:t>
            </w:r>
          </w:p>
        </w:tc>
        <w:tc>
          <w:tcPr>
            <w:tcW w:type="dxa" w:w="698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8"/>
              </w:rPr>
              <w:t>32% open · 4.5% CTR · 2.1% conversion · €480K revenue · unsub &lt;0.25%.</w:t>
            </w:r>
          </w:p>
        </w:tc>
      </w:tr>
    </w:tbl>
    <w:p>
      <w:pPr>
        <w:pStyle w:val="Heading1"/>
        <w:keepNext/>
      </w:pPr>
      <w:r>
        <w:t>2.  Audience &amp; Segmentation</w:t>
      </w:r>
    </w:p>
    <w:p>
      <w:pPr>
        <w:spacing w:before="40" w:after="80" w:line="259" w:lineRule="auto"/>
      </w:pPr>
      <w:r>
        <w:rPr>
          <w:rFonts w:ascii="Calibri" w:hAnsi="Calibri"/>
          <w:b w:val="0"/>
          <w:i w:val="0"/>
          <w:color w:val="2C282C"/>
          <w:sz w:val="20"/>
        </w:rPr>
        <w:t>Five priority segments drive the flow; entry and offer tier are set at send time from the CRM. VIP and lapsed cohorts carry P1 weighting — together ~37% of the addressable base but the majority of forecast revenue.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2232"/>
        <w:gridCol w:w="4536"/>
        <w:gridCol w:w="1368"/>
        <w:gridCol w:w="1368"/>
      </w:tblGrid>
      <w:tr>
        <w:tc>
          <w:tcPr>
            <w:tcW w:type="dxa" w:w="223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Segment</w:t>
            </w:r>
          </w:p>
        </w:tc>
        <w:tc>
          <w:tcPr>
            <w:tcW w:type="dxa" w:w="4536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Definition / criteria</w:t>
            </w:r>
          </w:p>
        </w:tc>
        <w:tc>
          <w:tcPr>
            <w:tcW w:type="dxa" w:w="1368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Est. size</w:t>
            </w:r>
          </w:p>
        </w:tc>
        <w:tc>
          <w:tcPr>
            <w:tcW w:type="dxa" w:w="1368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Priority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VIP / high-LTV</w:t>
            </w:r>
          </w:p>
        </w:tc>
        <w:tc>
          <w:tcPr>
            <w:tcW w:type="dxa" w:w="453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Top 10% lifetime value; ≥3 orders in 12 mo; AOV &gt; €220</w:t>
            </w:r>
          </w:p>
        </w:tc>
        <w:tc>
          <w:tcPr>
            <w:tcW w:type="dxa" w:w="1368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4,200</w:t>
            </w:r>
          </w:p>
        </w:tc>
        <w:tc>
          <w:tcPr>
            <w:tcW w:type="dxa" w:w="1368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P1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Lapsed 6–12 mo</w:t>
            </w:r>
          </w:p>
        </w:tc>
        <w:tc>
          <w:tcPr>
            <w:tcW w:type="dxa" w:w="453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Last purchase 180–365 days ago; no order since</w:t>
            </w:r>
          </w:p>
        </w:tc>
        <w:tc>
          <w:tcPr>
            <w:tcW w:type="dxa" w:w="1368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11,800</w:t>
            </w:r>
          </w:p>
        </w:tc>
        <w:tc>
          <w:tcPr>
            <w:tcW w:type="dxa" w:w="1368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P1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Recent browsers</w:t>
            </w:r>
          </w:p>
        </w:tc>
        <w:tc>
          <w:tcPr>
            <w:tcW w:type="dxa" w:w="453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Session &lt; 30 days; viewed sale-eligible categories; no order</w:t>
            </w:r>
          </w:p>
        </w:tc>
        <w:tc>
          <w:tcPr>
            <w:tcW w:type="dxa" w:w="1368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8,600</w:t>
            </w:r>
          </w:p>
        </w:tc>
        <w:tc>
          <w:tcPr>
            <w:tcW w:type="dxa" w:w="1368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P2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First-purchase (0–90d)</w:t>
            </w:r>
          </w:p>
        </w:tc>
        <w:tc>
          <w:tcPr>
            <w:tcW w:type="dxa" w:w="453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One order placed &lt; 90 days ago; not yet repeat</w:t>
            </w:r>
          </w:p>
        </w:tc>
        <w:tc>
          <w:tcPr>
            <w:tcW w:type="dxa" w:w="1368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6,900</w:t>
            </w:r>
          </w:p>
        </w:tc>
        <w:tc>
          <w:tcPr>
            <w:tcW w:type="dxa" w:w="1368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P2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Newsletter-only</w:t>
            </w:r>
          </w:p>
        </w:tc>
        <w:tc>
          <w:tcPr>
            <w:tcW w:type="dxa" w:w="453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Subscribed to CRM; never purchased</w:t>
            </w:r>
          </w:p>
        </w:tc>
        <w:tc>
          <w:tcPr>
            <w:tcW w:type="dxa" w:w="1368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15,400</w:t>
            </w:r>
          </w:p>
        </w:tc>
        <w:tc>
          <w:tcPr>
            <w:tcW w:type="dxa" w:w="1368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P3</w:t>
            </w:r>
          </w:p>
        </w:tc>
      </w:tr>
    </w:tbl>
    <w:p>
      <w:pPr>
        <w:pStyle w:val="Heading1"/>
        <w:keepNext/>
        <w:pageBreakBefore/>
      </w:pPr>
      <w:r>
        <w:t>3.  Offer &amp; Message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752"/>
        <w:gridCol w:w="4752"/>
      </w:tblGrid>
      <w:tr>
        <w:tc>
          <w:tcPr>
            <w:tcW w:type="dxa" w:w="4752"/>
            <w:tcMar>
              <w:top w:w="20" w:type="dxa"/>
              <w:bottom w:w="20" w:type="dxa"/>
              <w:start w:w="0" w:type="dxa"/>
              <w:end w:w="140" w:type="dxa"/>
              <w:left w:w="0" w:type="dxa"/>
              <w:right w:w="140" w:type="dxa"/>
            </w:tcMar>
            <w:vAlign w:val="top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smallCaps/>
                <w:color w:val="6E6E76"/>
                <w:sz w:val="19"/>
              </w:rPr>
              <w:t>THE HOOK</w:t>
            </w:r>
          </w:p>
          <w:p>
            <w:pPr>
              <w:spacing w:line="264" w:lineRule="auto" w:after="0"/>
            </w:pPr>
            <w:r>
              <w:rPr>
                <w:rFonts w:ascii="Calibri" w:hAnsi="Calibri"/>
                <w:color w:val="2C282C"/>
                <w:sz w:val="20"/>
              </w:rPr>
              <w:t>“The Winter Edit is on sale — up to 40% off the pieces you saved.” Scarcity is carried by a tiered, time-boxed markdown, not a blanket code: the discount deepens as stock thins, so early openers get first pick and VIPs get more off.</w:t>
            </w:r>
          </w:p>
        </w:tc>
        <w:tc>
          <w:tcPr>
            <w:tcW w:type="dxa" w:w="4752"/>
            <w:tcMar>
              <w:top w:w="20" w:type="dxa"/>
              <w:bottom w:w="20" w:type="dxa"/>
              <w:start w:w="60" w:type="dxa"/>
              <w:end w:w="0" w:type="dxa"/>
              <w:left w:w="60" w:type="dxa"/>
              <w:right w:w="0" w:type="dxa"/>
            </w:tcMar>
            <w:vAlign w:val="top"/>
          </w:tcPr>
          <w:p>
            <w:pPr>
              <w:spacing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788920" cy="18592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mple-hero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592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Calibri" w:hAnsi="Calibri"/>
                <w:i/>
                <w:color w:val="6E6E76"/>
                <w:sz w:val="16"/>
              </w:rPr>
              <w:t>Email hero creative — Winter Sale lockup</w:t>
            </w:r>
          </w:p>
        </w:tc>
      </w:tr>
    </w:tbl>
    <w:p>
      <w:pPr>
        <w:pStyle w:val="Heading3"/>
        <w:keepNext/>
      </w:pPr>
      <w:r>
        <w:t>Value proposition</w:t>
      </w:r>
    </w:p>
    <w:p>
      <w:pPr>
        <w:spacing w:before="40" w:after="80" w:line="259" w:lineRule="auto"/>
      </w:pPr>
      <w:r>
        <w:rPr>
          <w:rFonts w:ascii="Calibri" w:hAnsi="Calibri"/>
          <w:b w:val="0"/>
          <w:i w:val="0"/>
          <w:color w:val="2C282C"/>
          <w:sz w:val="20"/>
        </w:rPr>
        <w:t>Considered winter product — outerwear, cashmere and tailoring — at the season’s best price, with a curated edit that removes the work of hunting a sale. VIPs are rewarded first; lapsed customers get a reason to return before the range sells through.</w:t>
      </w:r>
    </w:p>
    <w:p>
      <w:pPr>
        <w:pStyle w:val="Heading3"/>
        <w:keepNext/>
      </w:pPr>
      <w:r>
        <w:t>Tone</w:t>
      </w:r>
    </w:p>
    <w:p>
      <w:pPr>
        <w:spacing w:before="40" w:after="80" w:line="259" w:lineRule="auto"/>
      </w:pPr>
      <w:r>
        <w:rPr>
          <w:rFonts w:ascii="Calibri" w:hAnsi="Calibri"/>
          <w:b w:val="0"/>
          <w:i w:val="0"/>
          <w:color w:val="2C282C"/>
          <w:sz w:val="20"/>
        </w:rPr>
        <w:t>Editorial and quiet-confident, never shouty. Urgency comes from the calendar and the tier ladder, not from exclamation marks — the sale reads as an edit, not a clearance bin.</w:t>
      </w:r>
    </w:p>
    <w:p>
      <w:pPr>
        <w:pStyle w:val="Heading3"/>
        <w:keepNext/>
      </w:pPr>
      <w:r>
        <w:t>Key messages</w:t>
      </w:r>
    </w:p>
    <w:p>
      <w:pPr>
        <w:pStyle w:val="ListBullet"/>
        <w:spacing w:after="40"/>
      </w:pPr>
      <w:r>
        <w:rPr>
          <w:rFonts w:ascii="Calibri" w:hAnsi="Calibri"/>
          <w:color w:val="2C282C"/>
          <w:sz w:val="20"/>
        </w:rPr>
        <w:t>Up to 40% off — the tier deepens as the window closes; the best pieces go first.</w:t>
      </w:r>
    </w:p>
    <w:p>
      <w:pPr>
        <w:pStyle w:val="ListBullet"/>
        <w:spacing w:after="40"/>
      </w:pPr>
      <w:r>
        <w:rPr>
          <w:rFonts w:ascii="Calibri" w:hAnsi="Calibri"/>
          <w:color w:val="2C282C"/>
          <w:sz w:val="20"/>
        </w:rPr>
        <w:t>VIP early access with an extra 10%, 24 hours before the public launch.</w:t>
      </w:r>
    </w:p>
    <w:p>
      <w:pPr>
        <w:pStyle w:val="ListBullet"/>
        <w:spacing w:after="40"/>
      </w:pPr>
      <w:r>
        <w:rPr>
          <w:rFonts w:ascii="Calibri" w:hAnsi="Calibri"/>
          <w:color w:val="2C282C"/>
          <w:sz w:val="20"/>
        </w:rPr>
        <w:t>Curated by category — outerwear, knitwear, tailoring — not an undifferentiated markdown.</w:t>
      </w:r>
    </w:p>
    <w:p>
      <w:pPr>
        <w:pStyle w:val="ListBullet"/>
        <w:spacing w:after="40"/>
      </w:pPr>
      <w:r>
        <w:rPr>
          <w:rFonts w:ascii="Calibri" w:hAnsi="Calibri"/>
          <w:color w:val="2C282C"/>
          <w:sz w:val="20"/>
        </w:rPr>
        <w:t>Free returns and next-day delivery hold through the full sale window.</w:t>
      </w:r>
    </w:p>
    <w:p>
      <w:pPr>
        <w:pStyle w:val="Heading3"/>
        <w:keepNext/>
      </w:pPr>
      <w:r>
        <w:t>Exclusions &amp; T&amp;Cs (summary)</w:t>
      </w:r>
    </w:p>
    <w:p>
      <w:pPr>
        <w:spacing w:before="40" w:after="80" w:line="259" w:lineRule="auto"/>
      </w:pPr>
      <w:r>
        <w:rPr>
          <w:rFonts w:ascii="Calibri" w:hAnsi="Calibri"/>
          <w:b w:val="0"/>
          <w:i w:val="0"/>
          <w:color w:val="6E6E76"/>
          <w:sz w:val="19"/>
        </w:rPr>
        <w:t>Excludes new-season SS26 arrivals, gift cards and archive/collab pieces. Not combinable with other codes; VIP +10% applies to sale price. Discounts apply while stock lasts; prices shown are the sale price. Full terms link in every email footer.</w:t>
      </w:r>
    </w:p>
    <w:p>
      <w:pPr>
        <w:pStyle w:val="Heading2"/>
        <w:keepNext/>
        <w:pageBreakBefore/>
      </w:pPr>
      <w:r>
        <w:t>3.1  Email Flow</w:t>
      </w:r>
    </w:p>
    <w:p>
      <w:pPr>
        <w:spacing w:before="40" w:after="40" w:line="259" w:lineRule="auto"/>
      </w:pPr>
      <w:r>
        <w:rPr>
          <w:rFonts w:ascii="Calibri" w:hAnsi="Calibri"/>
          <w:b w:val="0"/>
          <w:i w:val="0"/>
          <w:color w:val="2C282C"/>
          <w:sz w:val="19"/>
        </w:rPr>
        <w:t>A four-touch triggered journey with an engagement branch after Email 2: openers are routed to a VIP early-access offer, non-openers to a re-engagement nudge with a fresh subject line.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754880" cy="291236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iagra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9123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60" w:after="80" w:line="259" w:lineRule="auto"/>
        <w:jc w:val="center"/>
      </w:pPr>
      <w:r>
        <w:rPr>
          <w:rFonts w:ascii="Calibri" w:hAnsi="Calibri"/>
          <w:b w:val="0"/>
          <w:i/>
          <w:color w:val="6E6E76"/>
          <w:sz w:val="17"/>
        </w:rPr>
        <w:t>Figure 1 — Winter Sale triggered email journey: trigger → Email 1 (Day 0) → Email 2 (+2 days) → branch on open → Email 3A / 3B (Day 4) → close.</w:t>
      </w:r>
    </w:p>
    <w:p>
      <w:pPr>
        <w:pStyle w:val="Heading1"/>
        <w:keepNext/>
      </w:pPr>
      <w:r>
        <w:t>4.  Per-Email Content Spec</w:t>
      </w:r>
    </w:p>
    <w:p>
      <w:pPr>
        <w:spacing w:before="40" w:after="100" w:line="259" w:lineRule="auto"/>
      </w:pPr>
      <w:r>
        <w:rPr>
          <w:rFonts w:ascii="Calibri" w:hAnsi="Calibri"/>
          <w:b w:val="0"/>
          <w:i w:val="0"/>
          <w:color w:val="2C282C"/>
          <w:sz w:val="19"/>
        </w:rPr>
        <w:t>Content specification for the four emails in the flow. Subject lines carry an A/B test on Emails 1–3; the winner promotes automatically (see §6.2).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1512"/>
        <w:gridCol w:w="2001"/>
        <w:gridCol w:w="2001"/>
        <w:gridCol w:w="2001"/>
        <w:gridCol w:w="1987"/>
      </w:tblGrid>
      <w:tr>
        <w:tc>
          <w:tcPr>
            <w:tcW w:type="dxa" w:w="151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Field</w:t>
            </w:r>
          </w:p>
        </w:tc>
        <w:tc>
          <w:tcPr>
            <w:tcW w:type="dxa" w:w="200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Email 1</w:t>
            </w:r>
          </w:p>
        </w:tc>
        <w:tc>
          <w:tcPr>
            <w:tcW w:type="dxa" w:w="200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Email 2</w:t>
            </w:r>
          </w:p>
        </w:tc>
        <w:tc>
          <w:tcPr>
            <w:tcW w:type="dxa" w:w="200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Email 3A</w:t>
            </w:r>
          </w:p>
        </w:tc>
        <w:tc>
          <w:tcPr>
            <w:tcW w:type="dxa" w:w="1987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Email 3B</w:t>
            </w:r>
          </w:p>
        </w:tc>
      </w:tr>
      <w:tr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Email #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E1 — The Reveal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E2 — Category Edit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E3A — VIP Access</w:t>
            </w:r>
          </w:p>
        </w:tc>
        <w:tc>
          <w:tcPr>
            <w:tcW w:type="dxa" w:w="1987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E3B — Last Chance</w:t>
            </w:r>
          </w:p>
        </w:tc>
      </w:tr>
      <w:tr>
        <w:tc>
          <w:tcPr>
            <w:tcW w:type="dxa" w:w="151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Send timing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Day 0, 07:00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Day 2, 07:00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Day 4 (opened E2)</w:t>
            </w:r>
          </w:p>
        </w:tc>
        <w:tc>
          <w:tcPr>
            <w:tcW w:type="dxa" w:w="1987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Day 4 (no open)</w:t>
            </w:r>
          </w:p>
        </w:tc>
      </w:tr>
      <w:tr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Subject A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The Winter Edit is now on sale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Your saved pieces, up to 40% off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Early access: an extra 10%, today only</w:t>
            </w:r>
          </w:p>
        </w:tc>
        <w:tc>
          <w:tcPr>
            <w:tcW w:type="dxa" w:w="1987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Ends soon — up to 40% off</w:t>
            </w:r>
          </w:p>
        </w:tc>
      </w:tr>
      <w:tr>
        <w:tc>
          <w:tcPr>
            <w:tcW w:type="dxa" w:w="151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Subject B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Up to 40% off the winter edit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Outerwear &amp; cashmere, now reduced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VIP: your extra 10% is live</w:t>
            </w:r>
          </w:p>
        </w:tc>
        <w:tc>
          <w:tcPr>
            <w:tcW w:type="dxa" w:w="1987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Last chance before the edit sells out</w:t>
            </w:r>
          </w:p>
        </w:tc>
      </w:tr>
      <w:tr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Preheader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Tiered markdown — best pieces go first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Curated by category — shop the edit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24 hours, stacked on the sale price</w:t>
            </w:r>
          </w:p>
        </w:tc>
        <w:tc>
          <w:tcPr>
            <w:tcW w:type="dxa" w:w="1987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Final tier ends Monday at midnight</w:t>
            </w:r>
          </w:p>
        </w:tc>
      </w:tr>
      <w:tr>
        <w:tc>
          <w:tcPr>
            <w:tcW w:type="dxa" w:w="151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Hero concept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Plum lockup, ‘up to 40% off’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Split hero: outerwear / knit / tailoring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VIP badge, deep-plum ground</w:t>
            </w:r>
          </w:p>
        </w:tc>
        <w:tc>
          <w:tcPr>
            <w:tcW w:type="dxa" w:w="1987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Countdown lockup, final tier</w:t>
            </w:r>
          </w:p>
        </w:tc>
      </w:tr>
      <w:tr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Body / offer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Launch tier (20%); the ladder explained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Category rows, dynamic best-sellers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Extra 10% on sale price; VIP SKUs</w:t>
            </w:r>
          </w:p>
        </w:tc>
        <w:tc>
          <w:tcPr>
            <w:tcW w:type="dxa" w:w="1987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40% final tier; low-stock flags</w:t>
            </w:r>
          </w:p>
        </w:tc>
      </w:tr>
      <w:tr>
        <w:tc>
          <w:tcPr>
            <w:tcW w:type="dxa" w:w="151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Primary CTA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Shop the sale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Shop outerwear</w:t>
            </w:r>
          </w:p>
        </w:tc>
        <w:tc>
          <w:tcPr>
            <w:tcW w:type="dxa" w:w="200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Unlock my 10%</w:t>
            </w:r>
          </w:p>
        </w:tc>
        <w:tc>
          <w:tcPr>
            <w:tcW w:type="dxa" w:w="1987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Shop before it ends</w:t>
            </w:r>
          </w:p>
        </w:tc>
      </w:tr>
      <w:tr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  <w:shd w:val="clear" w:color="auto" w:fill="ECECEE"/>
          </w:tcPr>
          <w:p>
            <w:pPr>
              <w:spacing w:before="20" w:after="20" w:line="240" w:lineRule="auto"/>
            </w:pPr>
            <w:r>
              <w:rPr>
                <w:b/>
                <w:color w:val="3A1A32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Secondary CTA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See the tier calendar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Browse all categories</w:t>
            </w:r>
          </w:p>
        </w:tc>
        <w:tc>
          <w:tcPr>
            <w:tcW w:type="dxa" w:w="200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Shop the full edit</w:t>
            </w:r>
          </w:p>
        </w:tc>
        <w:tc>
          <w:tcPr>
            <w:tcW w:type="dxa" w:w="1987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6"/>
              </w:rPr>
              <w:t>Save for next drop</w:t>
            </w:r>
          </w:p>
        </w:tc>
      </w:tr>
    </w:tbl>
    <w:p>
      <w:pPr>
        <w:pStyle w:val="Heading1"/>
        <w:keepNext/>
        <w:pageBreakBefore/>
      </w:pPr>
      <w:r>
        <w:t>5.  Personalisation Rules</w:t>
      </w:r>
    </w:p>
    <w:p>
      <w:pPr>
        <w:spacing w:before="40" w:after="80" w:line="259" w:lineRule="auto"/>
      </w:pPr>
      <w:r>
        <w:rPr>
          <w:rFonts w:ascii="Calibri" w:hAnsi="Calibri"/>
          <w:b w:val="0"/>
          <w:i w:val="0"/>
          <w:color w:val="2C282C"/>
          <w:sz w:val="19"/>
        </w:rPr>
        <w:t>Dynamic content is resolved per contact at send time from CRM merge fields. Tokens shown in double braces are substituted by the ESP at render.</w:t>
      </w:r>
    </w:p>
    <w:p>
      <w:pPr>
        <w:numPr>
          <w:ilvl w:val="0"/>
          <w:numId w:val="10"/>
        </w:numPr>
        <w:pStyle w:val="ListNumber"/>
        <w:spacing w:after="60"/>
      </w:pPr>
      <w:r>
        <w:rPr>
          <w:rFonts w:ascii="Calibri" w:hAnsi="Calibri"/>
          <w:color w:val="2C282C"/>
          <w:sz w:val="20"/>
        </w:rPr>
        <w:t>Greeting personalises on {{first_name}}; fallback to “Hello” when the field is empty.</w:t>
      </w:r>
    </w:p>
    <w:p>
      <w:pPr>
        <w:numPr>
          <w:ilvl w:val="0"/>
          <w:numId w:val="10"/>
        </w:numPr>
        <w:pStyle w:val="ListNumber"/>
        <w:spacing w:after="60"/>
      </w:pPr>
      <w:r>
        <w:rPr>
          <w:rFonts w:ascii="Calibri" w:hAnsi="Calibri"/>
          <w:color w:val="2C282C"/>
          <w:sz w:val="20"/>
        </w:rPr>
        <w:t>Hero offer swaps by {{loyalty_tier}} — VIPs see the ‘extra 10%’ lockup; all others see the standard tier.</w:t>
      </w:r>
    </w:p>
    <w:p>
      <w:pPr>
        <w:numPr>
          <w:ilvl w:val="0"/>
          <w:numId w:val="10"/>
        </w:numPr>
        <w:pStyle w:val="ListNumber"/>
        <w:spacing w:after="60"/>
      </w:pPr>
      <w:r>
        <w:rPr>
          <w:rFonts w:ascii="Calibri" w:hAnsi="Calibri"/>
          <w:color w:val="2C282C"/>
          <w:sz w:val="20"/>
        </w:rPr>
        <w:t>Product recommendations pull the top 4 SKUs from {{top_category}} browsed or purchased, filtered to sale-eligible stock.</w:t>
      </w:r>
    </w:p>
    <w:p>
      <w:pPr>
        <w:numPr>
          <w:ilvl w:val="0"/>
          <w:numId w:val="10"/>
        </w:numPr>
        <w:pStyle w:val="ListNumber"/>
        <w:spacing w:after="60"/>
      </w:pPr>
      <w:r>
        <w:rPr>
          <w:rFonts w:ascii="Calibri" w:hAnsi="Calibri"/>
          <w:color w:val="2C282C"/>
          <w:sz w:val="20"/>
        </w:rPr>
        <w:t>Lapsed contacts ({{days_since_order}} &gt; 180) receive a “welcome back” band above the hero.</w:t>
      </w:r>
    </w:p>
    <w:p>
      <w:pPr>
        <w:numPr>
          <w:ilvl w:val="0"/>
          <w:numId w:val="10"/>
        </w:numPr>
        <w:pStyle w:val="ListNumber"/>
        <w:spacing w:after="60"/>
      </w:pPr>
      <w:r>
        <w:rPr>
          <w:rFonts w:ascii="Calibri" w:hAnsi="Calibri"/>
          <w:color w:val="2C282C"/>
          <w:sz w:val="20"/>
        </w:rPr>
        <w:t>Countdown block renders {{hours_remaining}} to the current tier; suppressed once the window closes.</w:t>
      </w:r>
    </w:p>
    <w:p>
      <w:pPr>
        <w:numPr>
          <w:ilvl w:val="0"/>
          <w:numId w:val="10"/>
        </w:numPr>
        <w:pStyle w:val="ListNumber"/>
        <w:spacing w:after="60"/>
      </w:pPr>
      <w:r>
        <w:rPr>
          <w:rFonts w:ascii="Calibri" w:hAnsi="Calibri"/>
          <w:color w:val="2C282C"/>
          <w:sz w:val="20"/>
        </w:rPr>
        <w:t>Nearest-store line resolves on {{home_region}} for click-and-collect; hidden when region is unknown.</w:t>
      </w:r>
    </w:p>
    <w:p>
      <w:pPr>
        <w:pStyle w:val="Heading3"/>
        <w:keepNext/>
      </w:pPr>
      <w:r>
        <w:t>Dynamic block rules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2232"/>
        <w:gridCol w:w="3096"/>
        <w:gridCol w:w="4176"/>
      </w:tblGrid>
      <w:tr>
        <w:tc>
          <w:tcPr>
            <w:tcW w:type="dxa" w:w="223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Content block</w:t>
            </w:r>
          </w:p>
        </w:tc>
        <w:tc>
          <w:tcPr>
            <w:tcW w:type="dxa" w:w="3096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Condition</w:t>
            </w:r>
          </w:p>
        </w:tc>
        <w:tc>
          <w:tcPr>
            <w:tcW w:type="dxa" w:w="4176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Content served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Hero offer</w:t>
            </w:r>
          </w:p>
        </w:tc>
        <w:tc>
          <w:tcPr>
            <w:tcW w:type="dxa" w:w="309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loyalty_tier = VIP</w:t>
            </w:r>
          </w:p>
        </w:tc>
        <w:tc>
          <w:tcPr>
            <w:tcW w:type="dxa" w:w="417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Extra-10% early-access lockup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Welcome-back band</w:t>
            </w:r>
          </w:p>
        </w:tc>
        <w:tc>
          <w:tcPr>
            <w:tcW w:type="dxa" w:w="309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days_since_order &gt; 180</w:t>
            </w:r>
          </w:p>
        </w:tc>
        <w:tc>
          <w:tcPr>
            <w:tcW w:type="dxa" w:w="417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“We saved your size” re-entry message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Product recs</w:t>
            </w:r>
          </w:p>
        </w:tc>
        <w:tc>
          <w:tcPr>
            <w:tcW w:type="dxa" w:w="309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top_category is set</w:t>
            </w:r>
          </w:p>
        </w:tc>
        <w:tc>
          <w:tcPr>
            <w:tcW w:type="dxa" w:w="417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4 best-sellers from that category, sale-only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Countdown</w:t>
            </w:r>
          </w:p>
        </w:tc>
        <w:tc>
          <w:tcPr>
            <w:tcW w:type="dxa" w:w="309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hours_remaining &gt; 0</w:t>
            </w:r>
          </w:p>
        </w:tc>
        <w:tc>
          <w:tcPr>
            <w:tcW w:type="dxa" w:w="417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Live tier countdown; else hidden</w:t>
            </w:r>
          </w:p>
        </w:tc>
      </w:tr>
    </w:tbl>
    <w:p>
      <w:pPr>
        <w:pStyle w:val="Heading1"/>
        <w:keepNext/>
      </w:pPr>
      <w:r>
        <w:t>6.  Success Metrics &amp; Test Plan</w:t>
      </w:r>
    </w:p>
    <w:p>
      <w:pPr>
        <w:pStyle w:val="Heading2"/>
        <w:keepNext/>
      </w:pPr>
      <w:r>
        <w:t>6.1  Targets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2520"/>
        <w:gridCol w:w="1512"/>
        <w:gridCol w:w="2232"/>
        <w:gridCol w:w="3240"/>
      </w:tblGrid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Metric</w:t>
            </w:r>
          </w:p>
        </w:tc>
        <w:tc>
          <w:tcPr>
            <w:tcW w:type="dxa" w:w="151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Target</w:t>
            </w:r>
          </w:p>
        </w:tc>
        <w:tc>
          <w:tcPr>
            <w:tcW w:type="dxa" w:w="223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Benchmark</w:t>
            </w:r>
          </w:p>
        </w:tc>
        <w:tc>
          <w:tcPr>
            <w:tcW w:type="dxa" w:w="324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Driver</w:t>
            </w:r>
          </w:p>
        </w:tc>
      </w:tr>
      <w:tr>
        <w:tc>
          <w:tcPr>
            <w:tcW w:type="dxa" w:w="25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Open rate</w:t>
            </w:r>
          </w:p>
        </w:tc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32%</w:t>
            </w:r>
          </w:p>
        </w:tc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26% house avg</w:t>
            </w:r>
          </w:p>
        </w:tc>
        <w:tc>
          <w:tcPr>
            <w:tcW w:type="dxa" w:w="324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Subject A/B + 07:00 send</w:t>
            </w:r>
          </w:p>
        </w:tc>
      </w:tr>
      <w:tr>
        <w:tc>
          <w:tcPr>
            <w:tcW w:type="dxa" w:w="25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Click-through (CTR)</w:t>
            </w:r>
          </w:p>
        </w:tc>
        <w:tc>
          <w:tcPr>
            <w:tcW w:type="dxa" w:w="151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4.5%</w:t>
            </w:r>
          </w:p>
        </w:tc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3.1%</w:t>
            </w:r>
          </w:p>
        </w:tc>
        <w:tc>
          <w:tcPr>
            <w:tcW w:type="dxa" w:w="324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Hero + single primary CTA</w:t>
            </w:r>
          </w:p>
        </w:tc>
      </w:tr>
      <w:tr>
        <w:tc>
          <w:tcPr>
            <w:tcW w:type="dxa" w:w="25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Conversion</w:t>
            </w:r>
          </w:p>
        </w:tc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2.1%</w:t>
            </w:r>
          </w:p>
        </w:tc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1.4%</w:t>
            </w:r>
          </w:p>
        </w:tc>
        <w:tc>
          <w:tcPr>
            <w:tcW w:type="dxa" w:w="324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Tiered urgency, final 72h</w:t>
            </w:r>
          </w:p>
        </w:tc>
      </w:tr>
      <w:tr>
        <w:tc>
          <w:tcPr>
            <w:tcW w:type="dxa" w:w="25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Attributed revenue</w:t>
            </w:r>
          </w:p>
        </w:tc>
        <w:tc>
          <w:tcPr>
            <w:tcW w:type="dxa" w:w="151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€480K</w:t>
            </w:r>
          </w:p>
        </w:tc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€360K (SS25 sale)</w:t>
            </w:r>
          </w:p>
        </w:tc>
        <w:tc>
          <w:tcPr>
            <w:tcW w:type="dxa" w:w="324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18-day window, 4 sends</w:t>
            </w:r>
          </w:p>
        </w:tc>
      </w:tr>
      <w:tr>
        <w:tc>
          <w:tcPr>
            <w:tcW w:type="dxa" w:w="25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Unsubscribe rate</w:t>
            </w:r>
          </w:p>
        </w:tc>
        <w:tc>
          <w:tcPr>
            <w:tcW w:type="dxa" w:w="151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&lt; 0.25%</w:t>
            </w:r>
          </w:p>
        </w:tc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0.31%</w:t>
            </w:r>
          </w:p>
        </w:tc>
        <w:tc>
          <w:tcPr>
            <w:tcW w:type="dxa" w:w="324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Frequency cap at 4 sends</w:t>
            </w:r>
          </w:p>
        </w:tc>
      </w:tr>
    </w:tbl>
    <w:p>
      <w:pPr>
        <w:pStyle w:val="Heading2"/>
        <w:keepNext/>
      </w:pPr>
      <w:r>
        <w:t>6.2  Test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2232"/>
        <w:gridCol w:w="3671"/>
        <w:gridCol w:w="1224"/>
        <w:gridCol w:w="2376"/>
      </w:tblGrid>
      <w:tr>
        <w:tc>
          <w:tcPr>
            <w:tcW w:type="dxa" w:w="223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Test</w:t>
            </w:r>
          </w:p>
        </w:tc>
        <w:tc>
          <w:tcPr>
            <w:tcW w:type="dxa" w:w="367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Hypothesis</w:t>
            </w:r>
          </w:p>
        </w:tc>
        <w:tc>
          <w:tcPr>
            <w:tcW w:type="dxa" w:w="1224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Split</w:t>
            </w:r>
          </w:p>
        </w:tc>
        <w:tc>
          <w:tcPr>
            <w:tcW w:type="dxa" w:w="2376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Decision rule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Subject line (E1)</w:t>
            </w:r>
          </w:p>
        </w:tc>
        <w:tc>
          <w:tcPr>
            <w:tcW w:type="dxa" w:w="367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Benefit-led beats curiosity-led</w:t>
            </w:r>
          </w:p>
        </w:tc>
        <w:tc>
          <w:tcPr>
            <w:tcW w:type="dxa" w:w="122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50 / 50</w:t>
            </w:r>
          </w:p>
        </w:tc>
        <w:tc>
          <w:tcPr>
            <w:tcW w:type="dxa" w:w="237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Promote winner at 95% sig.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Send time (E2)</w:t>
            </w:r>
          </w:p>
        </w:tc>
        <w:tc>
          <w:tcPr>
            <w:tcW w:type="dxa" w:w="367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07:00 lifts opens vs 18:00</w:t>
            </w:r>
          </w:p>
        </w:tc>
        <w:tc>
          <w:tcPr>
            <w:tcW w:type="dxa" w:w="122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50 / 50</w:t>
            </w:r>
          </w:p>
        </w:tc>
        <w:tc>
          <w:tcPr>
            <w:tcW w:type="dxa" w:w="237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or after 5,000 sends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Offer framing (E3A)</w:t>
            </w:r>
          </w:p>
        </w:tc>
        <w:tc>
          <w:tcPr>
            <w:tcW w:type="dxa" w:w="367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“Extra 10%” beats “early access”</w:t>
            </w:r>
          </w:p>
        </w:tc>
        <w:tc>
          <w:tcPr>
            <w:tcW w:type="dxa" w:w="122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50 / 50</w:t>
            </w:r>
          </w:p>
        </w:tc>
        <w:tc>
          <w:tcPr>
            <w:tcW w:type="dxa" w:w="237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Winner rolls to full send</w:t>
            </w:r>
          </w:p>
        </w:tc>
      </w:tr>
    </w:tbl>
    <w:p>
      <w:pPr>
        <w:pStyle w:val="Heading1"/>
        <w:keepNext/>
        <w:pageBreakBefore/>
      </w:pPr>
      <w:r>
        <w:t>7.  Compliance &amp; Governance</w:t>
      </w:r>
    </w:p>
    <w:p>
      <w:pPr>
        <w:spacing w:before="40" w:after="80" w:line="259" w:lineRule="auto"/>
      </w:pPr>
      <w:r>
        <w:rPr>
          <w:rFonts w:ascii="Calibri" w:hAnsi="Calibri"/>
          <w:b w:val="0"/>
          <w:i w:val="0"/>
          <w:color w:val="2C282C"/>
          <w:sz w:val="19"/>
        </w:rPr>
        <w:t>All sends run against UK/EU direct-marketing rules; the controls below are verified before the flow is switched live.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2520"/>
        <w:gridCol w:w="6120"/>
        <w:gridCol w:w="864"/>
      </w:tblGrid>
      <w:tr>
        <w:tc>
          <w:tcPr>
            <w:tcW w:type="dxa" w:w="25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612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Basis / control</w:t>
            </w:r>
          </w:p>
        </w:tc>
        <w:tc>
          <w:tcPr>
            <w:tcW w:type="dxa" w:w="864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25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Consent basis</w:t>
            </w:r>
          </w:p>
        </w:tc>
        <w:tc>
          <w:tcPr>
            <w:tcW w:type="dxa" w:w="61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Soft opt-in (PECR reg. 22) + GDPR Art. 6(1)(f) legitimate interest</w:t>
            </w:r>
          </w:p>
        </w:tc>
        <w:tc>
          <w:tcPr>
            <w:tcW w:type="dxa" w:w="86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5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Unsubscribe</w:t>
            </w:r>
          </w:p>
        </w:tc>
        <w:tc>
          <w:tcPr>
            <w:tcW w:type="dxa" w:w="61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One-click List-Unsubscribe header + footer link; honoured &lt; 24h</w:t>
            </w:r>
          </w:p>
        </w:tc>
        <w:tc>
          <w:tcPr>
            <w:tcW w:type="dxa" w:w="86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5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Sender identity</w:t>
            </w:r>
          </w:p>
        </w:tc>
        <w:tc>
          <w:tcPr>
            <w:tcW w:type="dxa" w:w="61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From: Halden &amp; Roe &lt;hello@halden-roe.com&gt;; postal address in footer</w:t>
            </w:r>
          </w:p>
        </w:tc>
        <w:tc>
          <w:tcPr>
            <w:tcW w:type="dxa" w:w="86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5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Data retention</w:t>
            </w:r>
          </w:p>
        </w:tc>
        <w:tc>
          <w:tcPr>
            <w:tcW w:type="dxa" w:w="61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Engagement data held 24 months, then anonymised</w:t>
            </w:r>
          </w:p>
        </w:tc>
        <w:tc>
          <w:tcPr>
            <w:tcW w:type="dxa" w:w="86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5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Suppression list</w:t>
            </w:r>
          </w:p>
        </w:tc>
        <w:tc>
          <w:tcPr>
            <w:tcW w:type="dxa" w:w="612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Global unsub + hard-bounce + complaint scrub applied pre-send</w:t>
            </w:r>
          </w:p>
        </w:tc>
        <w:tc>
          <w:tcPr>
            <w:tcW w:type="dxa" w:w="86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5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Frequency cap</w:t>
            </w:r>
          </w:p>
        </w:tc>
        <w:tc>
          <w:tcPr>
            <w:tcW w:type="dxa" w:w="612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Max 4 sale sends per contact across the 18-day window</w:t>
            </w:r>
          </w:p>
        </w:tc>
        <w:tc>
          <w:tcPr>
            <w:tcW w:type="dxa" w:w="86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</w:tbl>
    <w:p>
      <w:pPr>
        <w:pStyle w:val="Heading1"/>
        <w:keepNext/>
      </w:pPr>
      <w:r>
        <w:t>8.  Asset Checklist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D8CBD3"/>
          <w:left w:val="single" w:sz="4" w:space="0" w:color="D8CBD3"/>
          <w:bottom w:val="single" w:sz="4" w:space="0" w:color="D8CBD3"/>
          <w:right w:val="single" w:sz="4" w:space="0" w:color="D8CBD3"/>
          <w:insideH w:val="single" w:sz="4" w:space="0" w:color="D8CBD3"/>
          <w:insideV w:val="single" w:sz="4" w:space="0" w:color="D8CBD3"/>
        </w:tblBorders>
      </w:tblPr>
      <w:tblGrid>
        <w:gridCol w:w="2232"/>
        <w:gridCol w:w="3384"/>
        <w:gridCol w:w="1296"/>
        <w:gridCol w:w="1152"/>
        <w:gridCol w:w="1440"/>
      </w:tblGrid>
      <w:tr>
        <w:tc>
          <w:tcPr>
            <w:tcW w:type="dxa" w:w="223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Asset</w:t>
            </w:r>
          </w:p>
        </w:tc>
        <w:tc>
          <w:tcPr>
            <w:tcW w:type="dxa" w:w="3384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Spec / dimensions</w:t>
            </w:r>
          </w:p>
        </w:tc>
        <w:tc>
          <w:tcPr>
            <w:tcW w:type="dxa" w:w="1296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152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Due</w:t>
            </w:r>
          </w:p>
        </w:tc>
        <w:tc>
          <w:tcPr>
            <w:tcW w:type="dxa" w:w="1440"/>
            <w:vAlign w:val="center"/>
            <w:shd w:val="clear" w:color="auto" w:fill="5A2A4D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Hero banner</w:t>
            </w:r>
          </w:p>
        </w:tc>
        <w:tc>
          <w:tcPr>
            <w:tcW w:type="dxa" w:w="338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1200×800px, &lt; 200KB, plum lockup</w:t>
            </w:r>
          </w:p>
        </w:tc>
        <w:tc>
          <w:tcPr>
            <w:tcW w:type="dxa" w:w="129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Studio</w:t>
            </w:r>
          </w:p>
        </w:tc>
        <w:tc>
          <w:tcPr>
            <w:tcW w:type="dxa" w:w="115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18 Dec</w:t>
            </w:r>
          </w:p>
        </w:tc>
        <w:tc>
          <w:tcPr>
            <w:tcW w:type="dxa" w:w="144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>
              <w:rPr>
                <w:i/>
                <w:color w:val="6E6E76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Email templates ×4</w:t>
            </w:r>
          </w:p>
        </w:tc>
        <w:tc>
          <w:tcPr>
            <w:tcW w:type="dxa" w:w="338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600px width, dark-mode safe</w:t>
            </w:r>
          </w:p>
        </w:tc>
        <w:tc>
          <w:tcPr>
            <w:tcW w:type="dxa" w:w="129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CRM Dev</w:t>
            </w:r>
          </w:p>
        </w:tc>
        <w:tc>
          <w:tcPr>
            <w:tcW w:type="dxa" w:w="115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20 Dec</w:t>
            </w:r>
          </w:p>
        </w:tc>
        <w:tc>
          <w:tcPr>
            <w:tcW w:type="dxa" w:w="144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>
              <w:rPr>
                <w:i/>
                <w:color w:val="6E6E76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Subject-line matrix</w:t>
            </w:r>
          </w:p>
        </w:tc>
        <w:tc>
          <w:tcPr>
            <w:tcW w:type="dxa" w:w="338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A/B variants ×3 emails</w:t>
            </w:r>
          </w:p>
        </w:tc>
        <w:tc>
          <w:tcPr>
            <w:tcW w:type="dxa" w:w="129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Copy</w:t>
            </w:r>
          </w:p>
        </w:tc>
        <w:tc>
          <w:tcPr>
            <w:tcW w:type="dxa" w:w="115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19 Dec</w:t>
            </w:r>
          </w:p>
        </w:tc>
        <w:tc>
          <w:tcPr>
            <w:tcW w:type="dxa" w:w="144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>
              <w:rPr>
                <w:i/>
                <w:color w:val="6E6E76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✔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Product feed</w:t>
            </w:r>
          </w:p>
        </w:tc>
        <w:tc>
          <w:tcPr>
            <w:tcW w:type="dxa" w:w="338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24 SKUs, sale price + strikethrough</w:t>
            </w:r>
          </w:p>
        </w:tc>
        <w:tc>
          <w:tcPr>
            <w:tcW w:type="dxa" w:w="129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Merch</w:t>
            </w:r>
          </w:p>
        </w:tc>
        <w:tc>
          <w:tcPr>
            <w:tcW w:type="dxa" w:w="115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19 Dec</w:t>
            </w:r>
          </w:p>
        </w:tc>
        <w:tc>
          <w:tcPr>
            <w:tcW w:type="dxa" w:w="144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>
              <w:rPr>
                <w:i/>
                <w:color w:val="6E6E76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Pending</w:t>
            </w:r>
          </w:p>
        </w:tc>
      </w:tr>
      <w:tr>
        <w:tc>
          <w:tcPr>
            <w:tcW w:type="dxa" w:w="223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Segmentation export</w:t>
            </w:r>
          </w:p>
        </w:tc>
        <w:tc>
          <w:tcPr>
            <w:tcW w:type="dxa" w:w="3384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5 segments, CSV to ESP</w:t>
            </w:r>
          </w:p>
        </w:tc>
        <w:tc>
          <w:tcPr>
            <w:tcW w:type="dxa" w:w="1296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Data</w:t>
            </w:r>
          </w:p>
        </w:tc>
        <w:tc>
          <w:tcPr>
            <w:tcW w:type="dxa" w:w="1152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22 Dec</w:t>
            </w:r>
          </w:p>
        </w:tc>
        <w:tc>
          <w:tcPr>
            <w:tcW w:type="dxa" w:w="1440"/>
            <w:vAlign w:val="center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>
              <w:rPr>
                <w:i/>
                <w:color w:val="6E6E76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Pending</w:t>
            </w:r>
          </w:p>
        </w:tc>
      </w:tr>
      <w:tr>
        <w:tc>
          <w:tcPr>
            <w:tcW w:type="dxa" w:w="223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Landing page</w:t>
            </w:r>
          </w:p>
        </w:tc>
        <w:tc>
          <w:tcPr>
            <w:tcW w:type="dxa" w:w="3384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/winter-sale, tiered banner</w:t>
            </w:r>
          </w:p>
        </w:tc>
        <w:tc>
          <w:tcPr>
            <w:tcW w:type="dxa" w:w="1296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Web</w:t>
            </w:r>
          </w:p>
        </w:tc>
        <w:tc>
          <w:tcPr>
            <w:tcW w:type="dxa" w:w="1152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21 Dec</w:t>
            </w:r>
          </w:p>
        </w:tc>
        <w:tc>
          <w:tcPr>
            <w:tcW w:type="dxa" w:w="1440"/>
            <w:vAlign w:val="center"/>
            <w:shd w:val="clear" w:color="auto" w:fill="EEE2EC"/>
            <w:tcMar>
              <w:top w:w="40" w:type="dxa"/>
              <w:bottom w:w="40" w:type="dxa"/>
              <w:start w:w="90" w:type="dxa"/>
              <w:end w:w="90" w:type="dxa"/>
              <w:left w:w="90" w:type="dxa"/>
              <w:right w:w="90" w:type="dxa"/>
            </w:tcMar>
          </w:tcPr>
          <w:p>
            <w:pPr>
              <w:spacing w:before="20" w:after="20" w:line="240" w:lineRule="auto"/>
              <w:jc w:val="center"/>
            </w:pPr>
            <w:r>
              <w:rPr>
                <w:i/>
                <w:color w:val="6E6E76"/>
              </w:rPr>
            </w:r>
            <w:r>
              <w:rPr>
                <w:rFonts w:ascii="Calibri" w:hAnsi="Calibri"/>
                <w:b w:val="0"/>
                <w:i w:val="0"/>
                <w:color w:val="2C282C"/>
                <w:sz w:val="17"/>
              </w:rPr>
              <w:t>Pending</w:t>
            </w:r>
          </w:p>
        </w:tc>
      </w:tr>
    </w:tbl>
    <w:p>
      <w:pPr>
        <w:spacing w:before="280" w:after="80" w:line="259" w:lineRule="auto"/>
        <w:pBdr>
          <w:top w:val="single" w:sz="6" w:space="6" w:color="B08D57"/>
        </w:pBdr>
      </w:pPr>
      <w:r>
        <w:rPr>
          <w:rFonts w:ascii="Calibri" w:hAnsi="Calibri"/>
          <w:b/>
          <w:i w:val="0"/>
          <w:color w:val="3A1A32"/>
          <w:sz w:val="18"/>
        </w:rPr>
        <w:t>Approved for build:  ______________________________   Head of Ecommerce      Date: ____________      Version v1 · Marketing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91" w:right="1191" w:bottom="1134" w:left="1191" w:header="624" w:footer="62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504" w:val="right"/>
      </w:tabs>
    </w:pPr>
    <w:r/>
    <w:r>
      <w:rPr>
        <w:rFonts w:ascii="Calibri" w:hAnsi="Calibri"/>
        <w:color w:val="6E6E76"/>
        <w:sz w:val="16"/>
      </w:rPr>
      <w:t>v1 · Marketing</w:t>
    </w:r>
    <w:r>
      <w:rPr>
        <w:rFonts w:ascii="Calibri" w:hAnsi="Calibri"/>
        <w:color w:val="6E6E76"/>
        <w:sz w:val="16"/>
      </w:rPr>
      <w:tab/>
      <w:t xml:space="preserve">Page </w:t>
    </w:r>
    <w:r>
      <w:fldChar w:fldCharType="begin"/>
    </w:r>
    <w:r>
      <w:rPr>
        <w:rFonts w:ascii="Calibri" w:hAnsi="Calibri"/>
        <w:color w:val="6E6E76"/>
        <w:sz w:val="16"/>
      </w:rPr>
      <w:instrText xml:space="preserve">PAGE</w:instrTex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504" w:val="right"/>
      </w:tabs>
      <w:pBdr>
        <w:bottom w:val="single" w:sz="6" w:space="2" w:color="B08D57"/>
      </w:pBdr>
    </w:pPr>
    <w:r/>
    <w:r>
      <w:rPr>
        <w:rFonts w:ascii="Georgia" w:hAnsi="Georgia"/>
        <w:b/>
        <w:color w:val="5A2A4D"/>
        <w:sz w:val="18"/>
      </w:rPr>
      <w:t>HALDEN &amp; ROE</w:t>
    </w:r>
    <w:r>
      <w:rPr>
        <w:rFonts w:ascii="Calibri" w:hAnsi="Calibri"/>
        <w:color w:val="6E6E76"/>
        <w:sz w:val="17"/>
      </w:rPr>
      <w:tab/>
      <w:t>CRM Campaign Brief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">
    <w:lvl w:ilvl="0">
      <w:start w:val="1"/>
      <w:numFmt w:val="decimal"/>
      <w:lvlText w:val="%1."/>
      <w:lvlJc w:val="left"/>
      <w:pPr>
        <w:ind w:left="432" w:hanging="360"/>
      </w:pPr>
    </w:lvl>
  </w:abstractNum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C282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Georgia" w:hAnsi="Georgia" w:cs="Georgia"/>
      <w:b/>
      <w:bCs/>
      <w:color w:val="5A2A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Georgia" w:hAnsi="Georgia" w:cs="Georgia"/>
      <w:b/>
      <w:bCs/>
      <w:color w:val="3A1A3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Calibri" w:hAnsi="Calibri" w:cs="Calibri"/>
      <w:b/>
      <w:bCs/>
      <w:smallCaps/>
      <w:color w:val="6E6E76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/>
      <w:contextualSpacing/>
    </w:pPr>
    <w:rPr>
      <w:rFonts w:asciiTheme="majorHAnsi" w:eastAsiaTheme="majorEastAsia" w:hAnsiTheme="majorHAnsi" w:cstheme="majorBidi" w:ascii="Georgia" w:hAnsi="Georgia" w:cs="Georgia"/>
      <w:b/>
      <w:color w:val="5A2A4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 w:cs="Calibri"/>
      <w:color w:val="2C282C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 w:cs="Calibri"/>
      <w:color w:val="2C282C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