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Layout w:type="fixed"/>
      </w:tblPr>
      <w:tblGrid>
        <w:gridCol w:w="4680"/>
        <w:gridCol w:w="4680"/>
      </w:tblGrid>
      <w:tr>
        <w:tc>
          <w:tcPr>
            <w:tcW w:w="2015" w:type="dxa"/>
            <w:shd w:val="clear" w:color="auto" w:fill="0A4F50"/>
            <w:tcMar>
              <w:top w:w="140" w:type="dxa"/>
              <w:bottom w:w="140" w:type="dxa"/>
              <w:start w:w="140" w:type="dxa"/>
              <w:end w:w="140" w:type="dxa"/>
            </w:tcMar>
          </w:tcPr>
          <w:p>
            <w:pPr>
              <w:jc w:val="center"/>
            </w:pPr>
            <w:r/>
            <w:r>
              <w:drawing>
                <wp:inline xmlns:a="http://schemas.openxmlformats.org/drawingml/2006/main" xmlns:pic="http://schemas.openxmlformats.org/drawingml/2006/picture">
                  <wp:extent cx="777240" cy="771120"/>
                  <wp:docPr id="1" name="Picture 1"/>
                  <wp:cNvGraphicFramePr>
                    <a:graphicFrameLocks noChangeAspect="1"/>
                  </wp:cNvGraphicFramePr>
                  <a:graphic>
                    <a:graphicData uri="http://schemas.openxmlformats.org/drawingml/2006/picture">
                      <pic:pic>
                        <pic:nvPicPr>
                          <pic:cNvPr id="0" name="_mark_proposal.png"/>
                          <pic:cNvPicPr/>
                        </pic:nvPicPr>
                        <pic:blipFill>
                          <a:blip r:embed="rId9"/>
                          <a:stretch>
                            <a:fillRect/>
                          </a:stretch>
                        </pic:blipFill>
                        <pic:spPr>
                          <a:xfrm>
                            <a:off x="0" y="0"/>
                            <a:ext cx="777240" cy="771120"/>
                          </a:xfrm>
                          <a:prstGeom prst="rect"/>
                        </pic:spPr>
                      </pic:pic>
                    </a:graphicData>
                  </a:graphic>
                </wp:inline>
              </w:drawing>
            </w:r>
          </w:p>
        </w:tc>
        <w:tc>
          <w:tcPr>
            <w:tcW w:w="7343" w:type="dxa"/>
            <w:shd w:val="clear" w:color="auto" w:fill="0A4F50"/>
            <w:tcMar>
              <w:top w:w="140" w:type="dxa"/>
              <w:bottom w:w="140" w:type="dxa"/>
              <w:start w:w="140" w:type="dxa"/>
              <w:end w:w="140" w:type="dxa"/>
            </w:tcMar>
          </w:tcPr>
          <w:p>
            <w:pPr>
              <w:spacing w:after="0"/>
            </w:pPr>
            <w:r/>
            <w:r>
              <w:rPr>
                <w:rFonts w:ascii="Calibri" w:hAnsi="Calibri"/>
                <w:b/>
                <w:color w:val="FFFFFF"/>
                <w:sz w:val="40"/>
                <w:spacing w:val="60"/>
              </w:rPr>
              <w:t>HALDEN &amp; VANE</w:t>
            </w:r>
          </w:p>
          <w:p>
            <w:pPr>
              <w:spacing w:before="40"/>
            </w:pPr>
            <w:r>
              <w:rPr>
                <w:rFonts w:ascii="Calibri" w:hAnsi="Calibri"/>
                <w:b/>
                <w:color w:val="2FA39F"/>
                <w:sz w:val="16"/>
                <w:spacing w:val="50"/>
              </w:rPr>
              <w:t>DESIGN &amp; ENGINEERING STUDIO</w:t>
            </w:r>
          </w:p>
        </w:tc>
      </w:tr>
    </w:tbl>
    <w:p>
      <w:pPr>
        <w:spacing w:before="200" w:after="200"/>
        <w:jc w:val="center"/>
      </w:pPr>
      <w:r>
        <w:drawing>
          <wp:inline xmlns:a="http://schemas.openxmlformats.org/drawingml/2006/main" xmlns:pic="http://schemas.openxmlformats.org/drawingml/2006/picture">
            <wp:extent cx="5943600" cy="3396343"/>
            <wp:docPr id="2" name="Picture 2"/>
            <wp:cNvGraphicFramePr>
              <a:graphicFrameLocks noChangeAspect="1"/>
            </wp:cNvGraphicFramePr>
            <a:graphic>
              <a:graphicData uri="http://schemas.openxmlformats.org/drawingml/2006/picture">
                <pic:pic>
                  <pic:nvPicPr>
                    <pic:cNvPr id="0" name="emerald-coat-product.jpg"/>
                    <pic:cNvPicPr/>
                  </pic:nvPicPr>
                  <pic:blipFill>
                    <a:blip r:embed="rId10"/>
                    <a:stretch>
                      <a:fillRect/>
                    </a:stretch>
                  </pic:blipFill>
                  <pic:spPr>
                    <a:xfrm>
                      <a:off x="0" y="0"/>
                      <a:ext cx="5943600" cy="3396343"/>
                    </a:xfrm>
                    <a:prstGeom prst="rect"/>
                  </pic:spPr>
                </pic:pic>
              </a:graphicData>
            </a:graphic>
          </wp:inline>
        </w:drawing>
      </w:r>
    </w:p>
    <w:p>
      <w:pPr>
        <w:spacing w:before="120" w:after="40" w:line="269" w:lineRule="auto"/>
        <w:jc w:val="left"/>
      </w:pPr>
      <w:r>
        <w:rPr>
          <w:rFonts w:ascii="Calibri" w:hAnsi="Calibri"/>
          <w:b/>
          <w:i w:val="0"/>
          <w:color w:val="0F6E6E"/>
          <w:sz w:val="20"/>
          <w:spacing w:val="70"/>
        </w:rPr>
        <w:t>PROPOSAL &amp; STATEMENT OF WORK</w:t>
      </w:r>
    </w:p>
    <w:p>
      <w:pPr>
        <w:spacing w:before="0" w:after="40" w:line="245" w:lineRule="auto"/>
        <w:pBdr>
          <w:left w:val="single" w:sz="28" w:space="10" w:color="2FA39F"/>
        </w:pBdr>
      </w:pPr>
      <w:r>
        <w:rPr>
          <w:rFonts w:ascii="Calibri" w:hAnsi="Calibri"/>
          <w:b/>
          <w:i w:val="0"/>
          <w:color w:val="16232B"/>
          <w:sz w:val="60"/>
        </w:rPr>
        <w:t>Brand Website Rebuild</w:t>
      </w:r>
    </w:p>
    <w:p>
      <w:pPr>
        <w:spacing w:before="0" w:after="240" w:line="269" w:lineRule="auto"/>
      </w:pPr>
      <w:r>
        <w:rPr>
          <w:rFonts w:ascii="Calibri" w:hAnsi="Calibri"/>
          <w:b w:val="0"/>
          <w:i/>
          <w:color w:val="3A4A54"/>
          <w:sz w:val="26"/>
        </w:rPr>
        <w:t>A digital flagship for Maison Solene</w:t>
      </w:r>
    </w:p>
    <w:tbl>
      <w:tblPr>
        <w:tblW w:type="auto" w:w="0"/>
        <w:tblLayout w:type="fixed"/>
        <w:tblLook w:firstColumn="1" w:firstRow="1" w:lastColumn="0" w:lastRow="0" w:noHBand="0" w:noVBand="1" w:val="04A0"/>
        <w:tblLayout w:type="fixed"/>
      </w:tblPr>
      <w:tblGrid>
        <w:gridCol w:w="4680"/>
        <w:gridCol w:w="4680"/>
      </w:tblGrid>
      <w:tr>
        <w:tc>
          <w:tcPr>
            <w:tcW w:w="4680" w:type="dxa"/>
          </w:tcPr>
          <w:p>
            <w:pPr>
              <w:spacing w:after="40"/>
            </w:pPr>
            <w:r/>
            <w:r>
              <w:rPr>
                <w:rFonts w:ascii="Calibri" w:hAnsi="Calibri"/>
                <w:b/>
                <w:color w:val="0F6E6E"/>
                <w:sz w:val="16"/>
                <w:spacing w:val="40"/>
              </w:rPr>
              <w:t>PREPARED FOR</w:t>
            </w:r>
          </w:p>
          <w:p>
            <w:pPr>
              <w:spacing w:after="20" w:line="252" w:lineRule="auto"/>
            </w:pPr>
            <w:r>
              <w:rPr>
                <w:rFonts w:ascii="Calibri" w:hAnsi="Calibri"/>
                <w:b/>
                <w:color w:val="16232B"/>
                <w:sz w:val="20"/>
              </w:rPr>
              <w:t>Maison Solene</w:t>
            </w:r>
          </w:p>
          <w:p>
            <w:pPr>
              <w:spacing w:after="20" w:line="252" w:lineRule="auto"/>
            </w:pPr>
            <w:r>
              <w:rPr>
                <w:rFonts w:ascii="Calibri" w:hAnsi="Calibri"/>
                <w:b/>
                <w:color w:val="16232B"/>
                <w:sz w:val="20"/>
              </w:rPr>
              <w:t>Theo Marchand</w:t>
            </w:r>
          </w:p>
          <w:p>
            <w:pPr>
              <w:spacing w:after="20" w:line="252" w:lineRule="auto"/>
            </w:pPr>
            <w:r>
              <w:rPr>
                <w:rFonts w:ascii="Calibri" w:hAnsi="Calibri"/>
                <w:b/>
                <w:color w:val="16232B"/>
                <w:sz w:val="20"/>
              </w:rPr>
              <w:t>Head of Digital</w:t>
            </w:r>
          </w:p>
          <w:p>
            <w:pPr>
              <w:spacing w:after="20" w:line="252" w:lineRule="auto"/>
            </w:pPr>
            <w:r>
              <w:rPr>
                <w:rFonts w:ascii="Calibri" w:hAnsi="Calibri"/>
                <w:b/>
                <w:color w:val="16232B"/>
                <w:sz w:val="20"/>
              </w:rPr>
              <w:t>theo.marchand@maisonsolene.com</w:t>
            </w:r>
          </w:p>
        </w:tc>
        <w:tc>
          <w:tcPr>
            <w:tcW w:w="4680" w:type="dxa"/>
          </w:tcPr>
          <w:p>
            <w:pPr>
              <w:spacing w:after="40"/>
            </w:pPr>
            <w:r/>
            <w:r>
              <w:rPr>
                <w:rFonts w:ascii="Calibri" w:hAnsi="Calibri"/>
                <w:b/>
                <w:color w:val="0F6E6E"/>
                <w:sz w:val="16"/>
                <w:spacing w:val="40"/>
              </w:rPr>
              <w:t>PREPARED BY</w:t>
            </w:r>
          </w:p>
          <w:p>
            <w:pPr>
              <w:spacing w:after="20" w:line="252" w:lineRule="auto"/>
            </w:pPr>
            <w:r>
              <w:rPr>
                <w:rFonts w:ascii="Calibri" w:hAnsi="Calibri"/>
                <w:b/>
                <w:color w:val="16232B"/>
                <w:sz w:val="20"/>
              </w:rPr>
              <w:t>Halden &amp; Vane</w:t>
            </w:r>
          </w:p>
          <w:p>
            <w:pPr>
              <w:spacing w:after="20" w:line="252" w:lineRule="auto"/>
            </w:pPr>
            <w:r>
              <w:rPr>
                <w:rFonts w:ascii="Calibri" w:hAnsi="Calibri"/>
                <w:b/>
                <w:color w:val="16232B"/>
                <w:sz w:val="20"/>
              </w:rPr>
              <w:t>Priya Anand</w:t>
            </w:r>
          </w:p>
          <w:p>
            <w:pPr>
              <w:spacing w:after="20" w:line="252" w:lineRule="auto"/>
            </w:pPr>
            <w:r>
              <w:rPr>
                <w:rFonts w:ascii="Calibri" w:hAnsi="Calibri"/>
                <w:b/>
                <w:color w:val="16232B"/>
                <w:sz w:val="20"/>
              </w:rPr>
              <w:t>Engagement Lead</w:t>
            </w:r>
          </w:p>
          <w:p>
            <w:pPr>
              <w:spacing w:after="20" w:line="252" w:lineRule="auto"/>
            </w:pPr>
            <w:r>
              <w:rPr>
                <w:rFonts w:ascii="Calibri" w:hAnsi="Calibri"/>
                <w:b/>
                <w:color w:val="16232B"/>
                <w:sz w:val="20"/>
              </w:rPr>
              <w:t>priya.anand@haldenvane.com</w:t>
            </w:r>
          </w:p>
        </w:tc>
      </w:tr>
    </w:tbl>
    <w:p>
      <w:pPr>
        <w:spacing w:before="160" w:after="80" w:line="269" w:lineRule="auto"/>
        <w:pBdr>
          <w:bottom w:val="single" w:sz="6" w:space="1" w:color="C9D6D6"/>
        </w:pBdr>
      </w:pPr>
    </w:p>
    <w:p>
      <w:pPr>
        <w:spacing w:before="40"/>
      </w:pPr>
      <w:r>
        <w:rPr>
          <w:rFonts w:ascii="Calibri" w:hAnsi="Calibri"/>
          <w:b/>
          <w:color w:val="0F6E6E"/>
          <w:sz w:val="18"/>
        </w:rPr>
        <w:t xml:space="preserve">Project code  </w:t>
      </w:r>
      <w:r>
        <w:rPr>
          <w:rFonts w:ascii="Calibri" w:hAnsi="Calibri"/>
          <w:color w:val="3A4A54"/>
          <w:sz w:val="18"/>
        </w:rPr>
        <w:t xml:space="preserve">HV-2026-071     </w:t>
      </w:r>
      <w:r>
        <w:rPr>
          <w:rFonts w:ascii="Calibri" w:hAnsi="Calibri"/>
          <w:b/>
          <w:color w:val="0F6E6E"/>
          <w:sz w:val="18"/>
        </w:rPr>
        <w:t xml:space="preserve">Date  </w:t>
      </w:r>
      <w:r>
        <w:rPr>
          <w:rFonts w:ascii="Calibri" w:hAnsi="Calibri"/>
          <w:color w:val="3A4A54"/>
          <w:sz w:val="18"/>
        </w:rPr>
        <w:t xml:space="preserve">15 July 2026     </w:t>
      </w:r>
      <w:r>
        <w:rPr>
          <w:rFonts w:ascii="Calibri" w:hAnsi="Calibri"/>
          <w:b/>
          <w:color w:val="0F6E6E"/>
          <w:sz w:val="18"/>
        </w:rPr>
        <w:t xml:space="preserve">Version  </w:t>
      </w:r>
      <w:r>
        <w:rPr>
          <w:rFonts w:ascii="Calibri" w:hAnsi="Calibri"/>
          <w:color w:val="3A4A54"/>
          <w:sz w:val="18"/>
        </w:rPr>
        <w:t>v1.2</w:t>
      </w:r>
    </w:p>
    <w:p>
      <w:pPr>
        <w:spacing w:before="120" w:after="0" w:line="269" w:lineRule="auto"/>
      </w:pPr>
      <w:r>
        <w:rPr>
          <w:rFonts w:ascii="Calibri" w:hAnsi="Calibri"/>
          <w:b w:val="0"/>
          <w:i/>
          <w:color w:val="3A4A54"/>
          <w:sz w:val="17"/>
        </w:rPr>
        <w:t>Confidential — prepared exclusively for Maison Solene. Valid for 30 days from the date above.</w:t>
      </w:r>
    </w:p>
    <w:p>
      <w:pPr>
        <w:pageBreakBefore/>
        <w:spacing w:before="0" w:after="20" w:line="269" w:lineRule="auto"/>
      </w:pPr>
      <w:r>
        <w:rPr>
          <w:rFonts w:ascii="Calibri" w:hAnsi="Calibri"/>
          <w:b/>
          <w:i w:val="0"/>
          <w:color w:val="0F6E6E"/>
          <w:sz w:val="17"/>
          <w:spacing w:val="40"/>
        </w:rPr>
        <w:t>SECTION 01</w:t>
      </w:r>
    </w:p>
    <w:p>
      <w:pPr>
        <w:pStyle w:val="Heading1"/>
        <w:spacing w:before="40" w:after="120"/>
      </w:pPr>
      <w:r>
        <w:t>Executive summary</w:t>
      </w:r>
    </w:p>
    <w:p>
      <w:pPr>
        <w:spacing w:before="0" w:after="160" w:line="269" w:lineRule="auto"/>
      </w:pPr>
      <w:r>
        <w:rPr>
          <w:rFonts w:ascii="Calibri" w:hAnsi="Calibri"/>
          <w:b w:val="0"/>
          <w:i w:val="0"/>
          <w:color w:val="16232B"/>
          <w:sz w:val="21"/>
        </w:rPr>
        <w:t>Maison Solene has built a distinctive ready-to-wear voice, yet its current website — assembled on a templated platform in 2021 — no longer matches the quality of the collections it presents. Load times exceed six seconds on mobile, the storytelling is buried beneath rigid templates, and the content team cannot publish a lookbook without engineering support. The result is a flagship that undersells the brand and leaks revenue at every step of the journey.</w:t>
      </w:r>
    </w:p>
    <w:p>
      <w:pPr>
        <w:spacing w:before="0" w:after="200" w:line="269" w:lineRule="auto"/>
      </w:pPr>
      <w:r>
        <w:rPr>
          <w:rFonts w:ascii="Calibri" w:hAnsi="Calibri"/>
          <w:b w:val="0"/>
          <w:i w:val="0"/>
          <w:color w:val="16232B"/>
          <w:sz w:val="21"/>
        </w:rPr>
        <w:t>Halden &amp; Vane proposes a complete rebuild: a fast, editorial, headless website that puts imagery first, hands publishing control back to the Maison Solene team, and is engineered for accessibility and growth. This document sets out our approach, scope, timeline, team, commercial terms, and the acceptance criteria against which the work will be judged.</w:t>
      </w:r>
    </w:p>
    <w:tbl>
      <w:tblPr>
        <w:tblW w:type="auto" w:w="0"/>
        <w:jc w:val="center"/>
        <w:tblLayout w:type="fixed"/>
        <w:tblLook w:firstColumn="1" w:firstRow="1" w:lastColumn="0" w:lastRow="0" w:noHBand="0" w:noVBand="1" w:val="04A0"/>
        <w:tblLayout w:type="fixed"/>
      </w:tblPr>
      <w:tblGrid>
        <w:gridCol w:w="9360"/>
      </w:tblGrid>
      <w:tr>
        <w:tc>
          <w:tcPr>
            <w:tcW w:w="9360" w:type="dxa"/>
            <w:shd w:val="clear" w:color="auto" w:fill="0F6E6E"/>
            <w:tcMar>
              <w:top w:w="130" w:type="dxa"/>
              <w:bottom w:w="130" w:type="dxa"/>
              <w:start w:w="130" w:type="dxa"/>
              <w:end w:w="130" w:type="dxa"/>
            </w:tcMar>
          </w:tcPr>
          <w:p>
            <w:pPr>
              <w:spacing w:after="40"/>
            </w:pPr>
            <w:r/>
            <w:r>
              <w:rPr>
                <w:rFonts w:ascii="Calibri" w:hAnsi="Calibri"/>
                <w:b/>
                <w:color w:val="FFFFFF"/>
                <w:sz w:val="17"/>
                <w:spacing w:val="30"/>
              </w:rPr>
              <w:t>THE OUTCOME WE COMMIT TO</w:t>
            </w:r>
          </w:p>
          <w:p>
            <w:pPr>
              <w:spacing w:after="0" w:line="269" w:lineRule="auto"/>
            </w:pPr>
            <w:r>
              <w:rPr>
                <w:rFonts w:ascii="Calibri" w:hAnsi="Calibri"/>
                <w:b/>
                <w:color w:val="FFFFFF"/>
                <w:sz w:val="22"/>
              </w:rPr>
              <w:t>A production website launched in 13 weeks: sub-2-second mobile load, WCAG 2.2 AA accessibility, and a headless CMS that lets your team publish campaigns and lookbooks without a developer — targeting a 25–35% lift in mobile conversion within the first quarter.</w:t>
            </w:r>
          </w:p>
        </w:tc>
      </w:tr>
    </w:tbl>
    <w:p>
      <w:pPr>
        <w:pStyle w:val="Heading2"/>
        <w:spacing w:before="200" w:after="120"/>
      </w:pPr>
      <w:r>
        <w:t>Why now</w:t>
      </w:r>
    </w:p>
    <w:p>
      <w:pPr>
        <w:spacing w:before="0" w:after="120" w:line="269" w:lineRule="auto"/>
      </w:pPr>
      <w:r>
        <w:rPr>
          <w:rFonts w:ascii="Calibri" w:hAnsi="Calibri"/>
          <w:b w:val="0"/>
          <w:i w:val="0"/>
          <w:color w:val="16232B"/>
          <w:sz w:val="21"/>
        </w:rPr>
        <w:t>The autumn/winter campaign launches in Q4. Rebuilding ahead of it means the new flagship carries your most important commercial moment of the year, and the content team enters campaign season with a platform they control rather than one they fight.</w:t>
      </w:r>
    </w:p>
    <w:p>
      <w:pPr>
        <w:spacing w:before="0" w:after="0" w:line="269" w:lineRule="auto"/>
      </w:pPr>
      <w:r>
        <w:rPr>
          <w:rFonts w:ascii="Calibri" w:hAnsi="Calibri"/>
          <w:b w:val="0"/>
          <w:i w:val="0"/>
          <w:color w:val="16232B"/>
          <w:sz w:val="21"/>
        </w:rPr>
        <w:t>The pricing, timeline and team named in this proposal are reserved for Maison Solene through the validity window on the cover. We are ready to mobilise within one week of a signed statement of work.</w:t>
      </w:r>
    </w:p>
    <w:p>
      <w:pPr>
        <w:pageBreakBefore/>
        <w:spacing w:before="0" w:after="20" w:line="269" w:lineRule="auto"/>
      </w:pPr>
      <w:r>
        <w:rPr>
          <w:rFonts w:ascii="Calibri" w:hAnsi="Calibri"/>
          <w:b/>
          <w:i w:val="0"/>
          <w:color w:val="0F6E6E"/>
          <w:sz w:val="17"/>
          <w:spacing w:val="40"/>
        </w:rPr>
        <w:t>SECTION 02</w:t>
      </w:r>
    </w:p>
    <w:p>
      <w:pPr>
        <w:pStyle w:val="Heading1"/>
        <w:spacing w:before="40" w:after="120"/>
      </w:pPr>
      <w:r>
        <w:t>Background &amp; objectives</w:t>
      </w:r>
    </w:p>
    <w:p>
      <w:pPr>
        <w:spacing w:before="0" w:after="160" w:line="269" w:lineRule="auto"/>
      </w:pPr>
      <w:r>
        <w:rPr>
          <w:rFonts w:ascii="Calibri" w:hAnsi="Calibri"/>
          <w:b w:val="0"/>
          <w:i w:val="0"/>
          <w:color w:val="16232B"/>
          <w:sz w:val="21"/>
        </w:rPr>
        <w:t>The engagement was scoped across three discovery calls with your digital, creative and e-commerce leads in June 2026. Three themes surfaced consistently, and they frame everything that follows.</w:t>
      </w:r>
    </w:p>
    <w:p>
      <w:pPr>
        <w:numPr>
          <w:ilvl w:val="0"/>
          <w:numId w:val="10"/>
        </w:numPr>
        <w:spacing w:after="80" w:line="264" w:lineRule="auto"/>
      </w:pPr>
      <w:r>
        <w:rPr>
          <w:rFonts w:ascii="Calibri" w:hAnsi="Calibri"/>
          <w:b/>
          <w:color w:val="0A4F50"/>
          <w:sz w:val="21"/>
        </w:rPr>
        <w:t xml:space="preserve">Editorial-first experience.  </w:t>
      </w:r>
      <w:r>
        <w:rPr>
          <w:rFonts w:ascii="Calibri" w:hAnsi="Calibri"/>
          <w:color w:val="16232B"/>
          <w:sz w:val="21"/>
        </w:rPr>
        <w:t>Make imagery and story the centre of gravity. The site should feel like the brand's magazine, not a catalogue grid.</w:t>
      </w:r>
    </w:p>
    <w:p>
      <w:pPr>
        <w:numPr>
          <w:ilvl w:val="0"/>
          <w:numId w:val="10"/>
        </w:numPr>
        <w:spacing w:after="80" w:line="264" w:lineRule="auto"/>
      </w:pPr>
      <w:r>
        <w:rPr>
          <w:rFonts w:ascii="Calibri" w:hAnsi="Calibri"/>
          <w:b/>
          <w:color w:val="0A4F50"/>
          <w:sz w:val="21"/>
        </w:rPr>
        <w:t xml:space="preserve">Autonomy for the content team.  </w:t>
      </w:r>
      <w:r>
        <w:rPr>
          <w:rFonts w:ascii="Calibri" w:hAnsi="Calibri"/>
          <w:color w:val="16232B"/>
          <w:sz w:val="21"/>
        </w:rPr>
        <w:t>Give editors a headless CMS to compose campaigns, lookbooks and journal entries without engineering tickets.</w:t>
      </w:r>
    </w:p>
    <w:p>
      <w:pPr>
        <w:numPr>
          <w:ilvl w:val="0"/>
          <w:numId w:val="10"/>
        </w:numPr>
        <w:spacing w:after="80" w:line="264" w:lineRule="auto"/>
      </w:pPr>
      <w:r>
        <w:rPr>
          <w:rFonts w:ascii="Calibri" w:hAnsi="Calibri"/>
          <w:b/>
          <w:color w:val="0A4F50"/>
          <w:sz w:val="21"/>
        </w:rPr>
        <w:t xml:space="preserve">Performance &amp; accessibility.  </w:t>
      </w:r>
      <w:r>
        <w:rPr>
          <w:rFonts w:ascii="Calibri" w:hAnsi="Calibri"/>
          <w:color w:val="16232B"/>
          <w:sz w:val="21"/>
        </w:rPr>
        <w:t>Sub-2-second mobile load and WCAG 2.2 AA conformance, treated as launch gates rather than afterthoughts.</w:t>
      </w:r>
    </w:p>
    <w:p>
      <w:pPr>
        <w:numPr>
          <w:ilvl w:val="0"/>
          <w:numId w:val="10"/>
        </w:numPr>
        <w:spacing w:after="80" w:line="264" w:lineRule="auto"/>
      </w:pPr>
      <w:r>
        <w:rPr>
          <w:rFonts w:ascii="Calibri" w:hAnsi="Calibri"/>
          <w:b/>
          <w:color w:val="0A4F50"/>
          <w:sz w:val="21"/>
        </w:rPr>
        <w:t xml:space="preserve">A platform built to grow.  </w:t>
      </w:r>
      <w:r>
        <w:rPr>
          <w:rFonts w:ascii="Calibri" w:hAnsi="Calibri"/>
          <w:color w:val="16232B"/>
          <w:sz w:val="21"/>
        </w:rPr>
        <w:t>A component system and clean data model that extend to new markets, languages and commerce features.</w:t>
      </w:r>
    </w:p>
    <w:p>
      <w:pPr>
        <w:pStyle w:val="Heading1"/>
        <w:spacing w:before="240" w:after="120"/>
      </w:pPr>
      <w:r>
        <w:t>Approach &amp; methodology</w:t>
      </w:r>
    </w:p>
    <w:p>
      <w:pPr>
        <w:spacing w:before="0" w:after="160" w:line="269" w:lineRule="auto"/>
      </w:pPr>
      <w:r>
        <w:rPr>
          <w:rFonts w:ascii="Calibri" w:hAnsi="Calibri"/>
          <w:b w:val="0"/>
          <w:i w:val="0"/>
          <w:color w:val="16232B"/>
          <w:sz w:val="21"/>
        </w:rPr>
        <w:t>We work in four connected phases. Each ends in a tangible artefact and a decision gate, so you always know what has been delivered and what happens next.</w:t>
      </w:r>
    </w:p>
    <w:p>
      <w:pPr>
        <w:numPr>
          <w:ilvl w:val="0"/>
          <w:numId w:val="11"/>
        </w:numPr>
        <w:spacing w:after="80" w:line="264" w:lineRule="auto"/>
      </w:pPr>
      <w:r>
        <w:rPr>
          <w:rFonts w:ascii="Calibri" w:hAnsi="Calibri"/>
          <w:b/>
          <w:color w:val="0A4F50"/>
          <w:sz w:val="21"/>
        </w:rPr>
        <w:t xml:space="preserve">Discovery &amp; content strategy.  </w:t>
      </w:r>
      <w:r>
        <w:rPr>
          <w:rFonts w:ascii="Calibri" w:hAnsi="Calibri"/>
          <w:color w:val="16232B"/>
          <w:sz w:val="21"/>
        </w:rPr>
        <w:t>Stakeholder interviews, analytics and content audit, information architecture, and a measurement framework. Output: a validated sitemap and content model.</w:t>
      </w:r>
    </w:p>
    <w:p>
      <w:pPr>
        <w:numPr>
          <w:ilvl w:val="0"/>
          <w:numId w:val="11"/>
        </w:numPr>
        <w:spacing w:after="80" w:line="264" w:lineRule="auto"/>
      </w:pPr>
      <w:r>
        <w:rPr>
          <w:rFonts w:ascii="Calibri" w:hAnsi="Calibri"/>
          <w:b/>
          <w:color w:val="0A4F50"/>
          <w:sz w:val="21"/>
        </w:rPr>
        <w:t xml:space="preserve">Experience &amp; interface design.  </w:t>
      </w:r>
      <w:r>
        <w:rPr>
          <w:rFonts w:ascii="Calibri" w:hAnsi="Calibri"/>
          <w:color w:val="16232B"/>
          <w:sz w:val="21"/>
        </w:rPr>
        <w:t>Wireframes, an editorial design system, and high-fidelity prototypes for the key templates. Output: signed-off designs and a component library in Figma.</w:t>
      </w:r>
    </w:p>
    <w:p>
      <w:pPr>
        <w:numPr>
          <w:ilvl w:val="0"/>
          <w:numId w:val="11"/>
        </w:numPr>
        <w:spacing w:after="80" w:line="264" w:lineRule="auto"/>
      </w:pPr>
      <w:r>
        <w:rPr>
          <w:rFonts w:ascii="Calibri" w:hAnsi="Calibri"/>
          <w:b/>
          <w:color w:val="0A4F50"/>
          <w:sz w:val="21"/>
        </w:rPr>
        <w:t xml:space="preserve">Front-end build &amp; CMS integration.  </w:t>
      </w:r>
      <w:r>
        <w:rPr>
          <w:rFonts w:ascii="Calibri" w:hAnsi="Calibri"/>
          <w:color w:val="16232B"/>
          <w:sz w:val="21"/>
        </w:rPr>
        <w:t>Componentised React front end, headless CMS modelling, and migration of existing content. Output: a staged, reviewable build behind authentication.</w:t>
      </w:r>
    </w:p>
    <w:p>
      <w:pPr>
        <w:numPr>
          <w:ilvl w:val="0"/>
          <w:numId w:val="11"/>
        </w:numPr>
        <w:spacing w:after="80" w:line="264" w:lineRule="auto"/>
      </w:pPr>
      <w:r>
        <w:rPr>
          <w:rFonts w:ascii="Calibri" w:hAnsi="Calibri"/>
          <w:b/>
          <w:color w:val="0A4F50"/>
          <w:sz w:val="21"/>
        </w:rPr>
        <w:t xml:space="preserve">Quality, accessibility &amp; launch.  </w:t>
      </w:r>
      <w:r>
        <w:rPr>
          <w:rFonts w:ascii="Calibri" w:hAnsi="Calibri"/>
          <w:color w:val="16232B"/>
          <w:sz w:val="21"/>
        </w:rPr>
        <w:t>Cross-device QA, automated and manual accessibility testing, performance tuning, and a supervised go-live. Output: the production site and a handover pack.</w:t>
      </w:r>
    </w:p>
    <w:p>
      <w:pPr>
        <w:pageBreakBefore/>
        <w:spacing w:before="0" w:after="20" w:line="269" w:lineRule="auto"/>
      </w:pPr>
      <w:r>
        <w:rPr>
          <w:rFonts w:ascii="Calibri" w:hAnsi="Calibri"/>
          <w:b/>
          <w:i w:val="0"/>
          <w:color w:val="0F6E6E"/>
          <w:sz w:val="17"/>
          <w:spacing w:val="40"/>
        </w:rPr>
        <w:t>SECTION 03</w:t>
      </w:r>
    </w:p>
    <w:p>
      <w:pPr>
        <w:pStyle w:val="Heading1"/>
        <w:spacing w:before="40" w:after="120"/>
      </w:pPr>
      <w:r>
        <w:t>Scope of work</w:t>
      </w:r>
    </w:p>
    <w:p>
      <w:pPr>
        <w:spacing w:before="0" w:after="160" w:line="269" w:lineRule="auto"/>
      </w:pPr>
      <w:r>
        <w:rPr>
          <w:rFonts w:ascii="Calibri" w:hAnsi="Calibri"/>
          <w:b w:val="0"/>
          <w:i w:val="0"/>
          <w:color w:val="16232B"/>
          <w:sz w:val="21"/>
        </w:rPr>
        <w:t>Scope is defined positively (what we will build) and negatively (what sits outside this statement of work). Anything not listed as in-scope is, by definition, out-of-scope and handled through the change process in the terms.</w:t>
      </w:r>
    </w:p>
    <w:p>
      <w:pPr>
        <w:pStyle w:val="Heading2"/>
        <w:spacing w:before="80" w:after="80"/>
      </w:pPr>
      <w:r>
        <w:t>In scope</w:t>
      </w:r>
    </w:p>
    <w:p>
      <w:pPr>
        <w:numPr>
          <w:ilvl w:val="0"/>
          <w:numId w:val="12"/>
        </w:numPr>
        <w:spacing w:after="40" w:line="259" w:lineRule="auto"/>
      </w:pPr>
      <w:r>
        <w:rPr>
          <w:rFonts w:ascii="Calibri" w:hAnsi="Calibri"/>
          <w:color w:val="16232B"/>
          <w:sz w:val="20"/>
        </w:rPr>
        <w:t>Discovery, information architecture, and a documented content model.</w:t>
      </w:r>
    </w:p>
    <w:p>
      <w:pPr>
        <w:numPr>
          <w:ilvl w:val="0"/>
          <w:numId w:val="12"/>
        </w:numPr>
        <w:spacing w:after="40" w:line="259" w:lineRule="auto"/>
      </w:pPr>
      <w:r>
        <w:rPr>
          <w:rFonts w:ascii="Calibri" w:hAnsi="Calibri"/>
          <w:color w:val="16232B"/>
          <w:sz w:val="20"/>
        </w:rPr>
        <w:t>Responsive editorial design system covering home, collection, product, lookbook, journal, story and contact templates.</w:t>
      </w:r>
    </w:p>
    <w:p>
      <w:pPr>
        <w:numPr>
          <w:ilvl w:val="0"/>
          <w:numId w:val="12"/>
        </w:numPr>
        <w:spacing w:after="40" w:line="259" w:lineRule="auto"/>
      </w:pPr>
      <w:r>
        <w:rPr>
          <w:rFonts w:ascii="Calibri" w:hAnsi="Calibri"/>
          <w:color w:val="16232B"/>
          <w:sz w:val="20"/>
        </w:rPr>
        <w:t>Front-end build in React with server-side rendering for performance and SEO.</w:t>
      </w:r>
    </w:p>
    <w:p>
      <w:pPr>
        <w:numPr>
          <w:ilvl w:val="0"/>
          <w:numId w:val="12"/>
        </w:numPr>
        <w:spacing w:after="40" w:line="259" w:lineRule="auto"/>
      </w:pPr>
      <w:r>
        <w:rPr>
          <w:rFonts w:ascii="Calibri" w:hAnsi="Calibri"/>
          <w:color w:val="16232B"/>
          <w:sz w:val="20"/>
        </w:rPr>
        <w:t>Headless CMS setup, schema modelling, and editor training for up to six users.</w:t>
      </w:r>
    </w:p>
    <w:p>
      <w:pPr>
        <w:numPr>
          <w:ilvl w:val="0"/>
          <w:numId w:val="12"/>
        </w:numPr>
        <w:spacing w:after="40" w:line="259" w:lineRule="auto"/>
      </w:pPr>
      <w:r>
        <w:rPr>
          <w:rFonts w:ascii="Calibri" w:hAnsi="Calibri"/>
          <w:color w:val="16232B"/>
          <w:sz w:val="20"/>
        </w:rPr>
        <w:t>Migration of existing product and editorial content into the new model.</w:t>
      </w:r>
    </w:p>
    <w:p>
      <w:pPr>
        <w:numPr>
          <w:ilvl w:val="0"/>
          <w:numId w:val="12"/>
        </w:numPr>
        <w:spacing w:after="40" w:line="259" w:lineRule="auto"/>
      </w:pPr>
      <w:r>
        <w:rPr>
          <w:rFonts w:ascii="Calibri" w:hAnsi="Calibri"/>
          <w:color w:val="16232B"/>
          <w:sz w:val="20"/>
        </w:rPr>
        <w:t>Accessibility (WCAG 2.2 AA) and performance engineering to the launch gates.</w:t>
      </w:r>
    </w:p>
    <w:p>
      <w:pPr>
        <w:numPr>
          <w:ilvl w:val="0"/>
          <w:numId w:val="12"/>
        </w:numPr>
        <w:spacing w:after="40" w:line="259" w:lineRule="auto"/>
      </w:pPr>
      <w:r>
        <w:rPr>
          <w:rFonts w:ascii="Calibri" w:hAnsi="Calibri"/>
          <w:color w:val="16232B"/>
          <w:sz w:val="20"/>
        </w:rPr>
        <w:t>Analytics and consent instrumentation, plus a supervised production launch.</w:t>
      </w:r>
    </w:p>
    <w:p>
      <w:pPr>
        <w:pStyle w:val="Heading2"/>
        <w:spacing w:before="160" w:after="80"/>
      </w:pPr>
      <w:r>
        <w:t>Out of scope</w:t>
      </w:r>
    </w:p>
    <w:p>
      <w:pPr>
        <w:numPr>
          <w:ilvl w:val="0"/>
          <w:numId w:val="13"/>
        </w:numPr>
        <w:spacing w:after="40" w:line="259" w:lineRule="auto"/>
      </w:pPr>
      <w:r>
        <w:rPr>
          <w:rFonts w:ascii="Calibri" w:hAnsi="Calibri"/>
          <w:color w:val="3A4A54"/>
          <w:sz w:val="20"/>
        </w:rPr>
        <w:t>Brand identity, logo or photography art direction (we consume existing assets).</w:t>
      </w:r>
    </w:p>
    <w:p>
      <w:pPr>
        <w:numPr>
          <w:ilvl w:val="0"/>
          <w:numId w:val="13"/>
        </w:numPr>
        <w:spacing w:after="40" w:line="259" w:lineRule="auto"/>
      </w:pPr>
      <w:r>
        <w:rPr>
          <w:rFonts w:ascii="Calibri" w:hAnsi="Calibri"/>
          <w:color w:val="3A4A54"/>
          <w:sz w:val="20"/>
        </w:rPr>
        <w:t>Net-new product photography or video production and post-production.</w:t>
      </w:r>
    </w:p>
    <w:p>
      <w:pPr>
        <w:numPr>
          <w:ilvl w:val="0"/>
          <w:numId w:val="13"/>
        </w:numPr>
        <w:spacing w:after="40" w:line="259" w:lineRule="auto"/>
      </w:pPr>
      <w:r>
        <w:rPr>
          <w:rFonts w:ascii="Calibri" w:hAnsi="Calibri"/>
          <w:color w:val="3A4A54"/>
          <w:sz w:val="20"/>
        </w:rPr>
        <w:t>Replatforming of the commerce back end or payment provider.</w:t>
      </w:r>
    </w:p>
    <w:p>
      <w:pPr>
        <w:numPr>
          <w:ilvl w:val="0"/>
          <w:numId w:val="13"/>
        </w:numPr>
        <w:spacing w:after="40" w:line="259" w:lineRule="auto"/>
      </w:pPr>
      <w:r>
        <w:rPr>
          <w:rFonts w:ascii="Calibri" w:hAnsi="Calibri"/>
          <w:color w:val="3A4A54"/>
          <w:sz w:val="20"/>
        </w:rPr>
        <w:t>Ongoing content authoring and campaign production after launch.</w:t>
      </w:r>
    </w:p>
    <w:p>
      <w:pPr>
        <w:numPr>
          <w:ilvl w:val="0"/>
          <w:numId w:val="13"/>
        </w:numPr>
        <w:spacing w:after="40" w:line="259" w:lineRule="auto"/>
      </w:pPr>
      <w:r>
        <w:rPr>
          <w:rFonts w:ascii="Calibri" w:hAnsi="Calibri"/>
          <w:color w:val="3A4A54"/>
          <w:sz w:val="20"/>
        </w:rPr>
        <w:t>Paid media, SEO retainer, or performance-marketing services.</w:t>
      </w:r>
    </w:p>
    <w:p>
      <w:pPr>
        <w:pStyle w:val="Heading2"/>
        <w:spacing w:before="160" w:after="80"/>
      </w:pPr>
      <w:r>
        <w:t>Key deliverables</w:t>
      </w:r>
    </w:p>
    <w:tbl>
      <w:tblPr>
        <w:tblStyle w:val="TableGrid"/>
        <w:tblW w:type="auto" w:w="0"/>
        <w:jc w:val="center"/>
        <w:tblLook w:firstColumn="1" w:firstRow="1" w:lastColumn="0" w:lastRow="0" w:noHBand="0" w:noVBand="1" w:val="04A0"/>
        <w:tblLayout w:type="fixed"/>
      </w:tblPr>
      <w:tblGrid>
        <w:gridCol w:w="3120"/>
        <w:gridCol w:w="3120"/>
        <w:gridCol w:w="3120"/>
      </w:tblGrid>
      <w:tr>
        <w:tc>
          <w:tcPr>
            <w:tcW w:w="2232" w:type="dxa"/>
            <w:shd w:val="clear" w:color="auto" w:fill="0F6E6E"/>
          </w:tcPr>
          <w:p>
            <w:pPr>
              <w:spacing w:before="20" w:after="20" w:line="240" w:lineRule="auto"/>
            </w:pPr>
            <w:r>
              <w:rPr>
                <w:sz w:val="17"/>
              </w:rPr>
            </w:r>
            <w:r>
              <w:rPr>
                <w:b/>
                <w:color w:val="FFFFFF"/>
                <w:sz w:val="17"/>
              </w:rPr>
              <w:t>Deliverable</w:t>
            </w:r>
          </w:p>
        </w:tc>
        <w:tc>
          <w:tcPr>
            <w:tcW w:w="3960" w:type="dxa"/>
            <w:shd w:val="clear" w:color="auto" w:fill="0F6E6E"/>
          </w:tcPr>
          <w:p>
            <w:pPr>
              <w:spacing w:before="20" w:after="20" w:line="240" w:lineRule="auto"/>
            </w:pPr>
            <w:r>
              <w:rPr>
                <w:sz w:val="17"/>
              </w:rPr>
            </w:r>
            <w:r>
              <w:rPr>
                <w:b/>
                <w:color w:val="FFFFFF"/>
                <w:sz w:val="17"/>
              </w:rPr>
              <w:t>Description</w:t>
            </w:r>
          </w:p>
        </w:tc>
        <w:tc>
          <w:tcPr>
            <w:tcW w:w="3168" w:type="dxa"/>
            <w:shd w:val="clear" w:color="auto" w:fill="0F6E6E"/>
          </w:tcPr>
          <w:p>
            <w:pPr>
              <w:spacing w:before="20" w:after="20" w:line="240" w:lineRule="auto"/>
            </w:pPr>
            <w:r>
              <w:rPr>
                <w:sz w:val="17"/>
              </w:rPr>
            </w:r>
            <w:r>
              <w:rPr>
                <w:b/>
                <w:color w:val="FFFFFF"/>
                <w:sz w:val="17"/>
              </w:rPr>
              <w:t>Acceptance criteria</w:t>
            </w:r>
          </w:p>
        </w:tc>
      </w:tr>
      <w:tr>
        <w:tc>
          <w:tcPr>
            <w:tcW w:w="2232" w:type="dxa"/>
          </w:tcPr>
          <w:p>
            <w:pPr>
              <w:spacing w:before="20" w:after="20" w:line="240" w:lineRule="auto"/>
            </w:pPr>
            <w:r>
              <w:rPr>
                <w:sz w:val="17"/>
              </w:rPr>
            </w:r>
            <w:r>
              <w:rPr>
                <w:sz w:val="17"/>
              </w:rPr>
              <w:t>Content model &amp; IA</w:t>
            </w:r>
          </w:p>
        </w:tc>
        <w:tc>
          <w:tcPr>
            <w:tcW w:w="3960" w:type="dxa"/>
          </w:tcPr>
          <w:p>
            <w:pPr>
              <w:spacing w:before="20" w:after="20" w:line="240" w:lineRule="auto"/>
            </w:pPr>
            <w:r>
              <w:rPr>
                <w:sz w:val="17"/>
              </w:rPr>
            </w:r>
            <w:r>
              <w:rPr>
                <w:sz w:val="17"/>
              </w:rPr>
              <w:t>Sitemap, content schema and migration map</w:t>
            </w:r>
          </w:p>
        </w:tc>
        <w:tc>
          <w:tcPr>
            <w:tcW w:w="3168" w:type="dxa"/>
          </w:tcPr>
          <w:p>
            <w:pPr>
              <w:spacing w:before="20" w:after="20" w:line="240" w:lineRule="auto"/>
            </w:pPr>
            <w:r>
              <w:rPr>
                <w:sz w:val="17"/>
              </w:rPr>
            </w:r>
            <w:r>
              <w:rPr>
                <w:sz w:val="17"/>
              </w:rPr>
              <w:t>Approved by digital lead; covers all template types</w:t>
            </w:r>
          </w:p>
        </w:tc>
      </w:tr>
      <w:tr>
        <w:tc>
          <w:tcPr>
            <w:tcW w:w="2232" w:type="dxa"/>
            <w:shd w:val="clear" w:color="auto" w:fill="E4F1F0"/>
          </w:tcPr>
          <w:p>
            <w:pPr>
              <w:spacing w:before="20" w:after="20" w:line="240" w:lineRule="auto"/>
            </w:pPr>
            <w:r>
              <w:rPr>
                <w:sz w:val="17"/>
              </w:rPr>
            </w:r>
            <w:r>
              <w:rPr>
                <w:sz w:val="17"/>
              </w:rPr>
              <w:t>Editorial design system</w:t>
            </w:r>
          </w:p>
        </w:tc>
        <w:tc>
          <w:tcPr>
            <w:tcW w:w="3960" w:type="dxa"/>
            <w:shd w:val="clear" w:color="auto" w:fill="E4F1F0"/>
          </w:tcPr>
          <w:p>
            <w:pPr>
              <w:spacing w:before="20" w:after="20" w:line="240" w:lineRule="auto"/>
            </w:pPr>
            <w:r>
              <w:rPr>
                <w:sz w:val="17"/>
              </w:rPr>
            </w:r>
            <w:r>
              <w:rPr>
                <w:sz w:val="17"/>
              </w:rPr>
              <w:t>Figma component library and key page designs</w:t>
            </w:r>
          </w:p>
        </w:tc>
        <w:tc>
          <w:tcPr>
            <w:tcW w:w="3168" w:type="dxa"/>
            <w:shd w:val="clear" w:color="auto" w:fill="E4F1F0"/>
          </w:tcPr>
          <w:p>
            <w:pPr>
              <w:spacing w:before="20" w:after="20" w:line="240" w:lineRule="auto"/>
            </w:pPr>
            <w:r>
              <w:rPr>
                <w:sz w:val="17"/>
              </w:rPr>
            </w:r>
            <w:r>
              <w:rPr>
                <w:sz w:val="17"/>
              </w:rPr>
              <w:t>Signed-off designs; tokens documented and reusable</w:t>
            </w:r>
          </w:p>
        </w:tc>
      </w:tr>
      <w:tr>
        <w:tc>
          <w:tcPr>
            <w:tcW w:w="2232" w:type="dxa"/>
          </w:tcPr>
          <w:p>
            <w:pPr>
              <w:spacing w:before="20" w:after="20" w:line="240" w:lineRule="auto"/>
            </w:pPr>
            <w:r>
              <w:rPr>
                <w:sz w:val="17"/>
              </w:rPr>
            </w:r>
            <w:r>
              <w:rPr>
                <w:sz w:val="17"/>
              </w:rPr>
              <w:t>Production front end</w:t>
            </w:r>
          </w:p>
        </w:tc>
        <w:tc>
          <w:tcPr>
            <w:tcW w:w="3960" w:type="dxa"/>
          </w:tcPr>
          <w:p>
            <w:pPr>
              <w:spacing w:before="20" w:after="20" w:line="240" w:lineRule="auto"/>
            </w:pPr>
            <w:r>
              <w:rPr>
                <w:sz w:val="17"/>
              </w:rPr>
            </w:r>
            <w:r>
              <w:rPr>
                <w:sz w:val="17"/>
              </w:rPr>
              <w:t>React SSR build integrated with the CMS</w:t>
            </w:r>
          </w:p>
        </w:tc>
        <w:tc>
          <w:tcPr>
            <w:tcW w:w="3168" w:type="dxa"/>
          </w:tcPr>
          <w:p>
            <w:pPr>
              <w:spacing w:before="20" w:after="20" w:line="240" w:lineRule="auto"/>
            </w:pPr>
            <w:r>
              <w:rPr>
                <w:sz w:val="17"/>
              </w:rPr>
            </w:r>
            <w:r>
              <w:rPr>
                <w:sz w:val="17"/>
              </w:rPr>
              <w:t>All templates live on staging; Lighthouse ≥ 90</w:t>
            </w:r>
          </w:p>
        </w:tc>
      </w:tr>
      <w:tr>
        <w:tc>
          <w:tcPr>
            <w:tcW w:w="2232" w:type="dxa"/>
            <w:shd w:val="clear" w:color="auto" w:fill="E4F1F0"/>
          </w:tcPr>
          <w:p>
            <w:pPr>
              <w:spacing w:before="20" w:after="20" w:line="240" w:lineRule="auto"/>
            </w:pPr>
            <w:r>
              <w:rPr>
                <w:sz w:val="17"/>
              </w:rPr>
            </w:r>
            <w:r>
              <w:rPr>
                <w:sz w:val="17"/>
              </w:rPr>
              <w:t>Headless CMS</w:t>
            </w:r>
          </w:p>
        </w:tc>
        <w:tc>
          <w:tcPr>
            <w:tcW w:w="3960" w:type="dxa"/>
            <w:shd w:val="clear" w:color="auto" w:fill="E4F1F0"/>
          </w:tcPr>
          <w:p>
            <w:pPr>
              <w:spacing w:before="20" w:after="20" w:line="240" w:lineRule="auto"/>
            </w:pPr>
            <w:r>
              <w:rPr>
                <w:sz w:val="17"/>
              </w:rPr>
            </w:r>
            <w:r>
              <w:rPr>
                <w:sz w:val="17"/>
              </w:rPr>
              <w:t>Configured schemas, roles and editor training</w:t>
            </w:r>
          </w:p>
        </w:tc>
        <w:tc>
          <w:tcPr>
            <w:tcW w:w="3168" w:type="dxa"/>
            <w:shd w:val="clear" w:color="auto" w:fill="E4F1F0"/>
          </w:tcPr>
          <w:p>
            <w:pPr>
              <w:spacing w:before="20" w:after="20" w:line="240" w:lineRule="auto"/>
            </w:pPr>
            <w:r>
              <w:rPr>
                <w:sz w:val="17"/>
              </w:rPr>
            </w:r>
            <w:r>
              <w:rPr>
                <w:sz w:val="17"/>
              </w:rPr>
              <w:t>Six editors trained; publish a campaign unaided</w:t>
            </w:r>
          </w:p>
        </w:tc>
      </w:tr>
      <w:tr>
        <w:tc>
          <w:tcPr>
            <w:tcW w:w="2232" w:type="dxa"/>
          </w:tcPr>
          <w:p>
            <w:pPr>
              <w:spacing w:before="20" w:after="20" w:line="240" w:lineRule="auto"/>
            </w:pPr>
            <w:r>
              <w:rPr>
                <w:sz w:val="17"/>
              </w:rPr>
            </w:r>
            <w:r>
              <w:rPr>
                <w:sz w:val="17"/>
              </w:rPr>
              <w:t>Launch &amp; handover</w:t>
            </w:r>
          </w:p>
        </w:tc>
        <w:tc>
          <w:tcPr>
            <w:tcW w:w="3960" w:type="dxa"/>
          </w:tcPr>
          <w:p>
            <w:pPr>
              <w:spacing w:before="20" w:after="20" w:line="240" w:lineRule="auto"/>
            </w:pPr>
            <w:r>
              <w:rPr>
                <w:sz w:val="17"/>
              </w:rPr>
            </w:r>
            <w:r>
              <w:rPr>
                <w:sz w:val="17"/>
              </w:rPr>
              <w:t>Production go-live plus documentation pack</w:t>
            </w:r>
          </w:p>
        </w:tc>
        <w:tc>
          <w:tcPr>
            <w:tcW w:w="3168" w:type="dxa"/>
          </w:tcPr>
          <w:p>
            <w:pPr>
              <w:spacing w:before="20" w:after="20" w:line="240" w:lineRule="auto"/>
            </w:pPr>
            <w:r>
              <w:rPr>
                <w:sz w:val="17"/>
              </w:rPr>
            </w:r>
            <w:r>
              <w:rPr>
                <w:sz w:val="17"/>
              </w:rPr>
              <w:t>Site live; runbook and 2-week warranty accepted</w:t>
            </w:r>
          </w:p>
        </w:tc>
      </w:tr>
    </w:tbl>
    <w:p>
      <w:pPr>
        <w:pageBreakBefore/>
        <w:spacing w:before="0" w:after="20" w:line="269" w:lineRule="auto"/>
      </w:pPr>
      <w:r>
        <w:rPr>
          <w:rFonts w:ascii="Calibri" w:hAnsi="Calibri"/>
          <w:b/>
          <w:i w:val="0"/>
          <w:color w:val="0F6E6E"/>
          <w:sz w:val="17"/>
          <w:spacing w:val="40"/>
        </w:rPr>
        <w:t>SECTION 04</w:t>
      </w:r>
    </w:p>
    <w:p>
      <w:pPr>
        <w:pStyle w:val="Heading1"/>
        <w:spacing w:before="40" w:after="120"/>
      </w:pPr>
      <w:r>
        <w:t>Timeline &amp; milestones</w:t>
      </w:r>
    </w:p>
    <w:p>
      <w:pPr>
        <w:spacing w:before="0" w:after="160" w:line="269" w:lineRule="auto"/>
      </w:pPr>
      <w:r>
        <w:rPr>
          <w:rFonts w:ascii="Calibri" w:hAnsi="Calibri"/>
          <w:b w:val="0"/>
          <w:i w:val="0"/>
          <w:color w:val="16232B"/>
          <w:sz w:val="21"/>
        </w:rPr>
        <w:t>The programme runs over 13 weeks from kickoff to go-live. Phases overlap where handovers allow, and four milestones act as formal decision gates. The strip below shows the phase plan against project weeks; milestones are marked as diamonds.</w:t>
      </w:r>
    </w:p>
    <w:p>
      <w:pPr>
        <w:spacing w:before="40" w:after="40"/>
        <w:jc w:val="center"/>
      </w:pPr>
      <w:r>
        <w:drawing>
          <wp:inline xmlns:a="http://schemas.openxmlformats.org/drawingml/2006/main" xmlns:pic="http://schemas.openxmlformats.org/drawingml/2006/picture">
            <wp:extent cx="5943600" cy="2015544"/>
            <wp:docPr id="3" name="Picture 3"/>
            <wp:cNvGraphicFramePr>
              <a:graphicFrameLocks noChangeAspect="1"/>
            </wp:cNvGraphicFramePr>
            <a:graphic>
              <a:graphicData uri="http://schemas.openxmlformats.org/drawingml/2006/picture">
                <pic:pic>
                  <pic:nvPicPr>
                    <pic:cNvPr id="0" name="_gantt_proposal.png"/>
                    <pic:cNvPicPr/>
                  </pic:nvPicPr>
                  <pic:blipFill>
                    <a:blip r:embed="rId11"/>
                    <a:stretch>
                      <a:fillRect/>
                    </a:stretch>
                  </pic:blipFill>
                  <pic:spPr>
                    <a:xfrm>
                      <a:off x="0" y="0"/>
                      <a:ext cx="5943600" cy="2015544"/>
                    </a:xfrm>
                    <a:prstGeom prst="rect"/>
                  </pic:spPr>
                </pic:pic>
              </a:graphicData>
            </a:graphic>
          </wp:inline>
        </w:drawing>
      </w:r>
    </w:p>
    <w:p>
      <w:pPr>
        <w:jc w:val="center"/>
      </w:pPr>
      <w:r>
        <w:rPr>
          <w:b/>
          <w:i/>
        </w:rPr>
        <w:t xml:space="preserve">Figure </w:t>
      </w:r>
      <w:r>
        <w:fldChar w:fldCharType="begin"/>
      </w:r>
      <w:r>
        <w:instrText xml:space="preserve"> SEQ Figure \* ARABIC </w:instrText>
      </w:r>
      <w:r>
        <w:fldChar w:fldCharType="separate"/>
      </w:r>
      <w:r>
        <w:t>1</w:t>
      </w:r>
      <w:r>
        <w:fldChar w:fldCharType="end"/>
      </w:r>
      <w:r>
        <w:rPr>
          <w:i/>
        </w:rPr>
        <w:t>. Phase plan and milestone gates across the 13-week programme.</w:t>
      </w:r>
    </w:p>
    <w:p>
      <w:pPr>
        <w:pStyle w:val="Heading2"/>
        <w:spacing w:before="200" w:after="80"/>
      </w:pPr>
      <w:r>
        <w:t>Milestone schedule</w:t>
      </w:r>
    </w:p>
    <w:tbl>
      <w:tblPr>
        <w:tblStyle w:val="TableGrid"/>
        <w:tblW w:type="auto" w:w="0"/>
        <w:jc w:val="center"/>
        <w:tblLook w:firstColumn="1" w:firstRow="1" w:lastColumn="0" w:lastRow="0" w:noHBand="0" w:noVBand="1" w:val="04A0"/>
        <w:tblLayout w:type="fixed"/>
      </w:tblPr>
      <w:tblGrid>
        <w:gridCol w:w="3120"/>
        <w:gridCol w:w="3120"/>
        <w:gridCol w:w="3120"/>
      </w:tblGrid>
      <w:tr>
        <w:tc>
          <w:tcPr>
            <w:tcW w:w="3311" w:type="dxa"/>
            <w:shd w:val="clear" w:color="auto" w:fill="0F6E6E"/>
          </w:tcPr>
          <w:p>
            <w:pPr>
              <w:spacing w:before="20" w:after="20" w:line="240" w:lineRule="auto"/>
            </w:pPr>
            <w:r>
              <w:rPr>
                <w:sz w:val="18"/>
              </w:rPr>
            </w:r>
            <w:r>
              <w:rPr>
                <w:b/>
                <w:color w:val="FFFFFF"/>
                <w:sz w:val="17"/>
              </w:rPr>
              <w:t>Milestone</w:t>
            </w:r>
          </w:p>
        </w:tc>
        <w:tc>
          <w:tcPr>
            <w:tcW w:w="1584" w:type="dxa"/>
            <w:shd w:val="clear" w:color="auto" w:fill="0F6E6E"/>
          </w:tcPr>
          <w:p>
            <w:pPr>
              <w:spacing w:before="20" w:after="20" w:line="240" w:lineRule="auto"/>
            </w:pPr>
            <w:r>
              <w:rPr>
                <w:sz w:val="18"/>
              </w:rPr>
            </w:r>
            <w:r>
              <w:rPr>
                <w:b/>
                <w:color w:val="FFFFFF"/>
                <w:sz w:val="17"/>
              </w:rPr>
              <w:t>Timing</w:t>
            </w:r>
          </w:p>
        </w:tc>
        <w:tc>
          <w:tcPr>
            <w:tcW w:w="4464" w:type="dxa"/>
            <w:shd w:val="clear" w:color="auto" w:fill="0F6E6E"/>
          </w:tcPr>
          <w:p>
            <w:pPr>
              <w:spacing w:before="20" w:after="20" w:line="240" w:lineRule="auto"/>
            </w:pPr>
            <w:r>
              <w:rPr>
                <w:sz w:val="18"/>
              </w:rPr>
            </w:r>
            <w:r>
              <w:rPr>
                <w:b/>
                <w:color w:val="FFFFFF"/>
                <w:sz w:val="17"/>
              </w:rPr>
              <w:t>Gate description</w:t>
            </w:r>
          </w:p>
        </w:tc>
      </w:tr>
      <w:tr>
        <w:tc>
          <w:tcPr>
            <w:tcW w:w="3311" w:type="dxa"/>
          </w:tcPr>
          <w:p>
            <w:pPr>
              <w:spacing w:before="20" w:after="20" w:line="240" w:lineRule="auto"/>
            </w:pPr>
            <w:r>
              <w:rPr>
                <w:sz w:val="18"/>
              </w:rPr>
            </w:r>
            <w:r>
              <w:rPr>
                <w:sz w:val="17"/>
              </w:rPr>
              <w:t>M1 — Kickoff</w:t>
            </w:r>
          </w:p>
        </w:tc>
        <w:tc>
          <w:tcPr>
            <w:tcW w:w="1584" w:type="dxa"/>
          </w:tcPr>
          <w:p>
            <w:pPr>
              <w:spacing w:before="20" w:after="20" w:line="240" w:lineRule="auto"/>
            </w:pPr>
            <w:r>
              <w:rPr>
                <w:sz w:val="18"/>
              </w:rPr>
            </w:r>
            <w:r>
              <w:rPr>
                <w:sz w:val="17"/>
              </w:rPr>
              <w:t>Week 1</w:t>
            </w:r>
          </w:p>
        </w:tc>
        <w:tc>
          <w:tcPr>
            <w:tcW w:w="4464" w:type="dxa"/>
          </w:tcPr>
          <w:p>
            <w:pPr>
              <w:spacing w:before="20" w:after="20" w:line="240" w:lineRule="auto"/>
            </w:pPr>
            <w:r>
              <w:rPr>
                <w:sz w:val="18"/>
              </w:rPr>
            </w:r>
            <w:r>
              <w:rPr>
                <w:sz w:val="17"/>
              </w:rPr>
              <w:t>Mobilisation, access, and discovery workshops begin</w:t>
            </w:r>
          </w:p>
        </w:tc>
      </w:tr>
      <w:tr>
        <w:tc>
          <w:tcPr>
            <w:tcW w:w="3311" w:type="dxa"/>
            <w:shd w:val="clear" w:color="auto" w:fill="E4F1F0"/>
          </w:tcPr>
          <w:p>
            <w:pPr>
              <w:spacing w:before="20" w:after="20" w:line="240" w:lineRule="auto"/>
            </w:pPr>
            <w:r>
              <w:rPr>
                <w:sz w:val="18"/>
              </w:rPr>
            </w:r>
            <w:r>
              <w:rPr>
                <w:sz w:val="17"/>
              </w:rPr>
              <w:t>M2 — Design sign-off</w:t>
            </w:r>
          </w:p>
        </w:tc>
        <w:tc>
          <w:tcPr>
            <w:tcW w:w="1584" w:type="dxa"/>
            <w:shd w:val="clear" w:color="auto" w:fill="E4F1F0"/>
          </w:tcPr>
          <w:p>
            <w:pPr>
              <w:spacing w:before="20" w:after="20" w:line="240" w:lineRule="auto"/>
            </w:pPr>
            <w:r>
              <w:rPr>
                <w:sz w:val="18"/>
              </w:rPr>
            </w:r>
            <w:r>
              <w:rPr>
                <w:sz w:val="17"/>
              </w:rPr>
              <w:t>Week 5</w:t>
            </w:r>
          </w:p>
        </w:tc>
        <w:tc>
          <w:tcPr>
            <w:tcW w:w="4464" w:type="dxa"/>
            <w:shd w:val="clear" w:color="auto" w:fill="E4F1F0"/>
          </w:tcPr>
          <w:p>
            <w:pPr>
              <w:spacing w:before="20" w:after="20" w:line="240" w:lineRule="auto"/>
            </w:pPr>
            <w:r>
              <w:rPr>
                <w:sz w:val="18"/>
              </w:rPr>
            </w:r>
            <w:r>
              <w:rPr>
                <w:sz w:val="17"/>
              </w:rPr>
              <w:t>Editorial design system and key templates approved</w:t>
            </w:r>
          </w:p>
        </w:tc>
      </w:tr>
      <w:tr>
        <w:tc>
          <w:tcPr>
            <w:tcW w:w="3311" w:type="dxa"/>
          </w:tcPr>
          <w:p>
            <w:pPr>
              <w:spacing w:before="20" w:after="20" w:line="240" w:lineRule="auto"/>
            </w:pPr>
            <w:r>
              <w:rPr>
                <w:sz w:val="18"/>
              </w:rPr>
            </w:r>
            <w:r>
              <w:rPr>
                <w:sz w:val="17"/>
              </w:rPr>
              <w:t>M3 — Beta / UAT</w:t>
            </w:r>
          </w:p>
        </w:tc>
        <w:tc>
          <w:tcPr>
            <w:tcW w:w="1584" w:type="dxa"/>
          </w:tcPr>
          <w:p>
            <w:pPr>
              <w:spacing w:before="20" w:after="20" w:line="240" w:lineRule="auto"/>
            </w:pPr>
            <w:r>
              <w:rPr>
                <w:sz w:val="18"/>
              </w:rPr>
            </w:r>
            <w:r>
              <w:rPr>
                <w:sz w:val="17"/>
              </w:rPr>
              <w:t>Week 10</w:t>
            </w:r>
          </w:p>
        </w:tc>
        <w:tc>
          <w:tcPr>
            <w:tcW w:w="4464" w:type="dxa"/>
          </w:tcPr>
          <w:p>
            <w:pPr>
              <w:spacing w:before="20" w:after="20" w:line="240" w:lineRule="auto"/>
            </w:pPr>
            <w:r>
              <w:rPr>
                <w:sz w:val="18"/>
              </w:rPr>
            </w:r>
            <w:r>
              <w:rPr>
                <w:sz w:val="17"/>
              </w:rPr>
              <w:t>Full build on staging; client user-acceptance testing</w:t>
            </w:r>
          </w:p>
        </w:tc>
      </w:tr>
      <w:tr>
        <w:tc>
          <w:tcPr>
            <w:tcW w:w="3311" w:type="dxa"/>
            <w:shd w:val="clear" w:color="auto" w:fill="E4F1F0"/>
          </w:tcPr>
          <w:p>
            <w:pPr>
              <w:spacing w:before="20" w:after="20" w:line="240" w:lineRule="auto"/>
            </w:pPr>
            <w:r>
              <w:rPr>
                <w:sz w:val="18"/>
              </w:rPr>
            </w:r>
            <w:r>
              <w:rPr>
                <w:sz w:val="17"/>
              </w:rPr>
              <w:t>M4 — Go-live</w:t>
            </w:r>
          </w:p>
        </w:tc>
        <w:tc>
          <w:tcPr>
            <w:tcW w:w="1584" w:type="dxa"/>
            <w:shd w:val="clear" w:color="auto" w:fill="E4F1F0"/>
          </w:tcPr>
          <w:p>
            <w:pPr>
              <w:spacing w:before="20" w:after="20" w:line="240" w:lineRule="auto"/>
            </w:pPr>
            <w:r>
              <w:rPr>
                <w:sz w:val="18"/>
              </w:rPr>
            </w:r>
            <w:r>
              <w:rPr>
                <w:sz w:val="17"/>
              </w:rPr>
              <w:t>Week 13</w:t>
            </w:r>
          </w:p>
        </w:tc>
        <w:tc>
          <w:tcPr>
            <w:tcW w:w="4464" w:type="dxa"/>
            <w:shd w:val="clear" w:color="auto" w:fill="E4F1F0"/>
          </w:tcPr>
          <w:p>
            <w:pPr>
              <w:spacing w:before="20" w:after="20" w:line="240" w:lineRule="auto"/>
            </w:pPr>
            <w:r>
              <w:rPr>
                <w:sz w:val="18"/>
              </w:rPr>
            </w:r>
            <w:r>
              <w:rPr>
                <w:sz w:val="17"/>
              </w:rPr>
              <w:t>Production launch, warranty period and handover</w:t>
            </w:r>
          </w:p>
        </w:tc>
      </w:tr>
    </w:tbl>
    <w:p>
      <w:pPr>
        <w:spacing w:before="200" w:after="0" w:line="269" w:lineRule="auto"/>
      </w:pPr>
      <w:r>
        <w:rPr>
          <w:rFonts w:ascii="Calibri" w:hAnsi="Calibri"/>
          <w:b w:val="0"/>
          <w:i/>
          <w:color w:val="3A4A54"/>
          <w:sz w:val="18"/>
        </w:rPr>
        <w:t>Dates assume a signed statement of work by the end of July 2026 and timely access to content, brand assets and stakeholder availability for reviews. Slippage on client-side approvals shifts dependent dates by the same interval.</w:t>
      </w:r>
    </w:p>
    <w:p>
      <w:pPr>
        <w:pageBreakBefore/>
        <w:spacing w:before="0" w:after="20" w:line="269" w:lineRule="auto"/>
      </w:pPr>
      <w:r>
        <w:rPr>
          <w:rFonts w:ascii="Calibri" w:hAnsi="Calibri"/>
          <w:b/>
          <w:i w:val="0"/>
          <w:color w:val="0F6E6E"/>
          <w:sz w:val="17"/>
          <w:spacing w:val="40"/>
        </w:rPr>
        <w:t>SECTION 05</w:t>
      </w:r>
    </w:p>
    <w:p>
      <w:pPr>
        <w:pStyle w:val="Heading1"/>
        <w:spacing w:before="40" w:after="120"/>
      </w:pPr>
      <w:r>
        <w:t>Team &amp; commercials</w:t>
      </w:r>
    </w:p>
    <w:p>
      <w:pPr>
        <w:pStyle w:val="Heading2"/>
        <w:spacing w:before="40" w:after="80"/>
      </w:pPr>
      <w:r>
        <w:t>Core team</w:t>
      </w:r>
    </w:p>
    <w:tbl>
      <w:tblPr>
        <w:tblStyle w:val="TableGrid"/>
        <w:tblW w:type="auto" w:w="0"/>
        <w:jc w:val="center"/>
        <w:tblLook w:firstColumn="1" w:firstRow="1" w:lastColumn="0" w:lastRow="0" w:noHBand="0" w:noVBand="1" w:val="04A0"/>
        <w:tblLayout w:type="fixed"/>
      </w:tblPr>
      <w:tblGrid>
        <w:gridCol w:w="3120"/>
        <w:gridCol w:w="3120"/>
        <w:gridCol w:w="3120"/>
      </w:tblGrid>
      <w:tr>
        <w:tc>
          <w:tcPr>
            <w:tcW w:w="2880" w:type="dxa"/>
            <w:shd w:val="clear" w:color="auto" w:fill="16232B"/>
          </w:tcPr>
          <w:p>
            <w:pPr>
              <w:spacing w:before="20" w:after="20" w:line="240" w:lineRule="auto"/>
            </w:pPr>
            <w:r>
              <w:rPr>
                <w:sz w:val="18"/>
              </w:rPr>
            </w:r>
            <w:r>
              <w:rPr>
                <w:b/>
                <w:color w:val="FFFFFF"/>
                <w:sz w:val="17"/>
              </w:rPr>
              <w:t>Name</w:t>
            </w:r>
          </w:p>
        </w:tc>
        <w:tc>
          <w:tcPr>
            <w:tcW w:w="3888" w:type="dxa"/>
            <w:shd w:val="clear" w:color="auto" w:fill="16232B"/>
          </w:tcPr>
          <w:p>
            <w:pPr>
              <w:spacing w:before="20" w:after="20" w:line="240" w:lineRule="auto"/>
            </w:pPr>
            <w:r>
              <w:rPr>
                <w:sz w:val="18"/>
              </w:rPr>
            </w:r>
            <w:r>
              <w:rPr>
                <w:b/>
                <w:color w:val="FFFFFF"/>
                <w:sz w:val="17"/>
              </w:rPr>
              <w:t>Role</w:t>
            </w:r>
          </w:p>
        </w:tc>
        <w:tc>
          <w:tcPr>
            <w:tcW w:w="2592" w:type="dxa"/>
            <w:shd w:val="clear" w:color="auto" w:fill="16232B"/>
          </w:tcPr>
          <w:p>
            <w:pPr>
              <w:spacing w:before="20" w:after="20" w:line="240" w:lineRule="auto"/>
              <w:jc w:val="right"/>
            </w:pPr>
            <w:r>
              <w:rPr>
                <w:sz w:val="18"/>
              </w:rPr>
            </w:r>
            <w:r>
              <w:rPr>
                <w:b/>
                <w:color w:val="FFFFFF"/>
                <w:sz w:val="17"/>
              </w:rPr>
              <w:t>Allocation</w:t>
            </w:r>
          </w:p>
        </w:tc>
      </w:tr>
      <w:tr>
        <w:tc>
          <w:tcPr>
            <w:tcW w:w="2880" w:type="dxa"/>
          </w:tcPr>
          <w:p>
            <w:pPr>
              <w:spacing w:before="20" w:after="20" w:line="240" w:lineRule="auto"/>
            </w:pPr>
            <w:r>
              <w:rPr>
                <w:sz w:val="18"/>
              </w:rPr>
            </w:r>
            <w:r>
              <w:rPr>
                <w:sz w:val="17"/>
              </w:rPr>
              <w:t>Priya Anand</w:t>
            </w:r>
          </w:p>
        </w:tc>
        <w:tc>
          <w:tcPr>
            <w:tcW w:w="3888" w:type="dxa"/>
          </w:tcPr>
          <w:p>
            <w:pPr>
              <w:spacing w:before="20" w:after="20" w:line="240" w:lineRule="auto"/>
            </w:pPr>
            <w:r>
              <w:rPr>
                <w:sz w:val="18"/>
              </w:rPr>
            </w:r>
            <w:r>
              <w:rPr>
                <w:sz w:val="17"/>
              </w:rPr>
              <w:t>Engagement lead</w:t>
            </w:r>
          </w:p>
        </w:tc>
        <w:tc>
          <w:tcPr>
            <w:tcW w:w="2592" w:type="dxa"/>
          </w:tcPr>
          <w:p>
            <w:pPr>
              <w:spacing w:before="20" w:after="20" w:line="240" w:lineRule="auto"/>
              <w:jc w:val="right"/>
            </w:pPr>
            <w:r>
              <w:rPr>
                <w:sz w:val="18"/>
              </w:rPr>
            </w:r>
            <w:r>
              <w:rPr>
                <w:sz w:val="17"/>
              </w:rPr>
              <w:t>20%</w:t>
            </w:r>
          </w:p>
        </w:tc>
      </w:tr>
      <w:tr>
        <w:tc>
          <w:tcPr>
            <w:tcW w:w="2880" w:type="dxa"/>
            <w:shd w:val="clear" w:color="auto" w:fill="E4F1F0"/>
          </w:tcPr>
          <w:p>
            <w:pPr>
              <w:spacing w:before="20" w:after="20" w:line="240" w:lineRule="auto"/>
            </w:pPr>
            <w:r>
              <w:rPr>
                <w:sz w:val="18"/>
              </w:rPr>
            </w:r>
            <w:r>
              <w:rPr>
                <w:sz w:val="17"/>
              </w:rPr>
              <w:t>Marcus Reeve</w:t>
            </w:r>
          </w:p>
        </w:tc>
        <w:tc>
          <w:tcPr>
            <w:tcW w:w="3888" w:type="dxa"/>
            <w:shd w:val="clear" w:color="auto" w:fill="E4F1F0"/>
          </w:tcPr>
          <w:p>
            <w:pPr>
              <w:spacing w:before="20" w:after="20" w:line="240" w:lineRule="auto"/>
            </w:pPr>
            <w:r>
              <w:rPr>
                <w:sz w:val="18"/>
              </w:rPr>
            </w:r>
            <w:r>
              <w:rPr>
                <w:sz w:val="17"/>
              </w:rPr>
              <w:t>UX &amp; content director</w:t>
            </w:r>
          </w:p>
        </w:tc>
        <w:tc>
          <w:tcPr>
            <w:tcW w:w="2592" w:type="dxa"/>
            <w:shd w:val="clear" w:color="auto" w:fill="E4F1F0"/>
          </w:tcPr>
          <w:p>
            <w:pPr>
              <w:spacing w:before="20" w:after="20" w:line="240" w:lineRule="auto"/>
              <w:jc w:val="right"/>
            </w:pPr>
            <w:r>
              <w:rPr>
                <w:sz w:val="18"/>
              </w:rPr>
            </w:r>
            <w:r>
              <w:rPr>
                <w:sz w:val="17"/>
              </w:rPr>
              <w:t>40%</w:t>
            </w:r>
          </w:p>
        </w:tc>
      </w:tr>
      <w:tr>
        <w:tc>
          <w:tcPr>
            <w:tcW w:w="2880" w:type="dxa"/>
          </w:tcPr>
          <w:p>
            <w:pPr>
              <w:spacing w:before="20" w:after="20" w:line="240" w:lineRule="auto"/>
            </w:pPr>
            <w:r>
              <w:rPr>
                <w:sz w:val="18"/>
              </w:rPr>
            </w:r>
            <w:r>
              <w:rPr>
                <w:sz w:val="17"/>
              </w:rPr>
              <w:t>Ines Falk</w:t>
            </w:r>
          </w:p>
        </w:tc>
        <w:tc>
          <w:tcPr>
            <w:tcW w:w="3888" w:type="dxa"/>
          </w:tcPr>
          <w:p>
            <w:pPr>
              <w:spacing w:before="20" w:after="20" w:line="240" w:lineRule="auto"/>
            </w:pPr>
            <w:r>
              <w:rPr>
                <w:sz w:val="18"/>
              </w:rPr>
            </w:r>
            <w:r>
              <w:rPr>
                <w:sz w:val="17"/>
              </w:rPr>
              <w:t>Lead editorial designer</w:t>
            </w:r>
          </w:p>
        </w:tc>
        <w:tc>
          <w:tcPr>
            <w:tcW w:w="2592" w:type="dxa"/>
          </w:tcPr>
          <w:p>
            <w:pPr>
              <w:spacing w:before="20" w:after="20" w:line="240" w:lineRule="auto"/>
              <w:jc w:val="right"/>
            </w:pPr>
            <w:r>
              <w:rPr>
                <w:sz w:val="18"/>
              </w:rPr>
            </w:r>
            <w:r>
              <w:rPr>
                <w:sz w:val="17"/>
              </w:rPr>
              <w:t>60%</w:t>
            </w:r>
          </w:p>
        </w:tc>
      </w:tr>
      <w:tr>
        <w:tc>
          <w:tcPr>
            <w:tcW w:w="2880" w:type="dxa"/>
            <w:shd w:val="clear" w:color="auto" w:fill="E4F1F0"/>
          </w:tcPr>
          <w:p>
            <w:pPr>
              <w:spacing w:before="20" w:after="20" w:line="240" w:lineRule="auto"/>
            </w:pPr>
            <w:r>
              <w:rPr>
                <w:sz w:val="18"/>
              </w:rPr>
            </w:r>
            <w:r>
              <w:rPr>
                <w:sz w:val="17"/>
              </w:rPr>
              <w:t>Daniel Cho</w:t>
            </w:r>
          </w:p>
        </w:tc>
        <w:tc>
          <w:tcPr>
            <w:tcW w:w="3888" w:type="dxa"/>
            <w:shd w:val="clear" w:color="auto" w:fill="E4F1F0"/>
          </w:tcPr>
          <w:p>
            <w:pPr>
              <w:spacing w:before="20" w:after="20" w:line="240" w:lineRule="auto"/>
            </w:pPr>
            <w:r>
              <w:rPr>
                <w:sz w:val="18"/>
              </w:rPr>
            </w:r>
            <w:r>
              <w:rPr>
                <w:sz w:val="17"/>
              </w:rPr>
              <w:t>Principal front-end engineer</w:t>
            </w:r>
          </w:p>
        </w:tc>
        <w:tc>
          <w:tcPr>
            <w:tcW w:w="2592" w:type="dxa"/>
            <w:shd w:val="clear" w:color="auto" w:fill="E4F1F0"/>
          </w:tcPr>
          <w:p>
            <w:pPr>
              <w:spacing w:before="20" w:after="20" w:line="240" w:lineRule="auto"/>
              <w:jc w:val="right"/>
            </w:pPr>
            <w:r>
              <w:rPr>
                <w:sz w:val="18"/>
              </w:rPr>
            </w:r>
            <w:r>
              <w:rPr>
                <w:sz w:val="17"/>
              </w:rPr>
              <w:t>80%</w:t>
            </w:r>
          </w:p>
        </w:tc>
      </w:tr>
      <w:tr>
        <w:tc>
          <w:tcPr>
            <w:tcW w:w="2880" w:type="dxa"/>
          </w:tcPr>
          <w:p>
            <w:pPr>
              <w:spacing w:before="20" w:after="20" w:line="240" w:lineRule="auto"/>
            </w:pPr>
            <w:r>
              <w:rPr>
                <w:sz w:val="18"/>
              </w:rPr>
            </w:r>
            <w:r>
              <w:rPr>
                <w:sz w:val="17"/>
              </w:rPr>
              <w:t>Sofia Reyes</w:t>
            </w:r>
          </w:p>
        </w:tc>
        <w:tc>
          <w:tcPr>
            <w:tcW w:w="3888" w:type="dxa"/>
          </w:tcPr>
          <w:p>
            <w:pPr>
              <w:spacing w:before="20" w:after="20" w:line="240" w:lineRule="auto"/>
            </w:pPr>
            <w:r>
              <w:rPr>
                <w:sz w:val="18"/>
              </w:rPr>
            </w:r>
            <w:r>
              <w:rPr>
                <w:sz w:val="17"/>
              </w:rPr>
              <w:t>QA &amp; accessibility specialist</w:t>
            </w:r>
          </w:p>
        </w:tc>
        <w:tc>
          <w:tcPr>
            <w:tcW w:w="2592" w:type="dxa"/>
          </w:tcPr>
          <w:p>
            <w:pPr>
              <w:spacing w:before="20" w:after="20" w:line="240" w:lineRule="auto"/>
              <w:jc w:val="right"/>
            </w:pPr>
            <w:r>
              <w:rPr>
                <w:sz w:val="18"/>
              </w:rPr>
            </w:r>
            <w:r>
              <w:rPr>
                <w:sz w:val="17"/>
              </w:rPr>
              <w:t>30%</w:t>
            </w:r>
          </w:p>
        </w:tc>
      </w:tr>
    </w:tbl>
    <w:p>
      <w:pPr>
        <w:pStyle w:val="Heading2"/>
        <w:spacing w:before="200" w:after="80"/>
      </w:pPr>
      <w:r>
        <w:t>Pricing</w:t>
      </w:r>
    </w:p>
    <w:tbl>
      <w:tblPr>
        <w:tblStyle w:val="TableGrid"/>
        <w:tblW w:type="auto" w:w="0"/>
        <w:jc w:val="center"/>
        <w:tblLook w:firstColumn="1" w:firstRow="1" w:lastColumn="0" w:lastRow="0" w:noHBand="0" w:noVBand="1" w:val="04A0"/>
        <w:tblLayout w:type="fixed"/>
      </w:tblPr>
      <w:tblGrid>
        <w:gridCol w:w="2340"/>
        <w:gridCol w:w="2340"/>
        <w:gridCol w:w="2340"/>
        <w:gridCol w:w="2340"/>
      </w:tblGrid>
      <w:tr>
        <w:tc>
          <w:tcPr>
            <w:tcW w:w="4031" w:type="dxa"/>
            <w:shd w:val="clear" w:color="auto" w:fill="0F6E6E"/>
          </w:tcPr>
          <w:p>
            <w:pPr>
              <w:spacing w:before="20" w:after="20" w:line="240" w:lineRule="auto"/>
            </w:pPr>
            <w:r>
              <w:rPr>
                <w:sz w:val="18"/>
              </w:rPr>
            </w:r>
            <w:r>
              <w:rPr>
                <w:b/>
                <w:color w:val="FFFFFF"/>
                <w:sz w:val="17"/>
              </w:rPr>
              <w:t>Line item</w:t>
            </w:r>
          </w:p>
        </w:tc>
        <w:tc>
          <w:tcPr>
            <w:tcW w:w="864" w:type="dxa"/>
            <w:shd w:val="clear" w:color="auto" w:fill="0F6E6E"/>
          </w:tcPr>
          <w:p>
            <w:pPr>
              <w:spacing w:before="20" w:after="20" w:line="240" w:lineRule="auto"/>
              <w:jc w:val="right"/>
            </w:pPr>
            <w:r>
              <w:rPr>
                <w:sz w:val="18"/>
              </w:rPr>
            </w:r>
            <w:r>
              <w:rPr>
                <w:b/>
                <w:color w:val="FFFFFF"/>
                <w:sz w:val="17"/>
              </w:rPr>
              <w:t>Qty</w:t>
            </w:r>
          </w:p>
        </w:tc>
        <w:tc>
          <w:tcPr>
            <w:tcW w:w="2160" w:type="dxa"/>
            <w:shd w:val="clear" w:color="auto" w:fill="0F6E6E"/>
          </w:tcPr>
          <w:p>
            <w:pPr>
              <w:spacing w:before="20" w:after="20" w:line="240" w:lineRule="auto"/>
              <w:jc w:val="right"/>
            </w:pPr>
            <w:r>
              <w:rPr>
                <w:sz w:val="18"/>
              </w:rPr>
            </w:r>
            <w:r>
              <w:rPr>
                <w:b/>
                <w:color w:val="FFFFFF"/>
                <w:sz w:val="17"/>
              </w:rPr>
              <w:t>Rate</w:t>
            </w:r>
          </w:p>
        </w:tc>
        <w:tc>
          <w:tcPr>
            <w:tcW w:w="2304" w:type="dxa"/>
            <w:shd w:val="clear" w:color="auto" w:fill="0F6E6E"/>
          </w:tcPr>
          <w:p>
            <w:pPr>
              <w:spacing w:before="20" w:after="20" w:line="240" w:lineRule="auto"/>
              <w:jc w:val="right"/>
            </w:pPr>
            <w:r>
              <w:rPr>
                <w:sz w:val="18"/>
              </w:rPr>
            </w:r>
            <w:r>
              <w:rPr>
                <w:b/>
                <w:color w:val="FFFFFF"/>
                <w:sz w:val="17"/>
              </w:rPr>
              <w:t>Amount</w:t>
            </w:r>
          </w:p>
        </w:tc>
      </w:tr>
      <w:tr>
        <w:tc>
          <w:tcPr>
            <w:tcW w:w="4031" w:type="dxa"/>
          </w:tcPr>
          <w:p>
            <w:pPr>
              <w:spacing w:before="20" w:after="20" w:line="240" w:lineRule="auto"/>
            </w:pPr>
            <w:r>
              <w:rPr>
                <w:sz w:val="18"/>
              </w:rPr>
            </w:r>
            <w:r>
              <w:rPr>
                <w:sz w:val="17"/>
              </w:rPr>
              <w:t>Discovery &amp; content strategy</w:t>
            </w:r>
          </w:p>
        </w:tc>
        <w:tc>
          <w:tcPr>
            <w:tcW w:w="864" w:type="dxa"/>
          </w:tcPr>
          <w:p>
            <w:pPr>
              <w:spacing w:before="20" w:after="20" w:line="240" w:lineRule="auto"/>
              <w:jc w:val="right"/>
            </w:pPr>
            <w:r>
              <w:rPr>
                <w:sz w:val="18"/>
              </w:rPr>
            </w:r>
            <w:r>
              <w:rPr>
                <w:sz w:val="17"/>
              </w:rPr>
              <w:t>1</w:t>
            </w:r>
          </w:p>
        </w:tc>
        <w:tc>
          <w:tcPr>
            <w:tcW w:w="2160" w:type="dxa"/>
          </w:tcPr>
          <w:p>
            <w:pPr>
              <w:spacing w:before="20" w:after="20" w:line="240" w:lineRule="auto"/>
              <w:jc w:val="right"/>
            </w:pPr>
            <w:r>
              <w:rPr>
                <w:sz w:val="18"/>
              </w:rPr>
            </w:r>
            <w:r>
              <w:rPr>
                <w:sz w:val="17"/>
              </w:rPr>
              <w:t>€18,000</w:t>
            </w:r>
          </w:p>
        </w:tc>
        <w:tc>
          <w:tcPr>
            <w:tcW w:w="2304" w:type="dxa"/>
          </w:tcPr>
          <w:p>
            <w:pPr>
              <w:spacing w:before="20" w:after="20" w:line="240" w:lineRule="auto"/>
              <w:jc w:val="right"/>
            </w:pPr>
            <w:r>
              <w:rPr>
                <w:sz w:val="18"/>
              </w:rPr>
            </w:r>
            <w:r>
              <w:rPr>
                <w:sz w:val="17"/>
              </w:rPr>
              <w:t>€18,000</w:t>
            </w:r>
          </w:p>
        </w:tc>
      </w:tr>
      <w:tr>
        <w:tc>
          <w:tcPr>
            <w:tcW w:w="4031" w:type="dxa"/>
            <w:shd w:val="clear" w:color="auto" w:fill="E4F1F0"/>
          </w:tcPr>
          <w:p>
            <w:pPr>
              <w:spacing w:before="20" w:after="20" w:line="240" w:lineRule="auto"/>
            </w:pPr>
            <w:r>
              <w:rPr>
                <w:sz w:val="18"/>
              </w:rPr>
            </w:r>
            <w:r>
              <w:rPr>
                <w:sz w:val="17"/>
              </w:rPr>
              <w:t>Experience &amp; interface design</w:t>
            </w:r>
          </w:p>
        </w:tc>
        <w:tc>
          <w:tcPr>
            <w:tcW w:w="864" w:type="dxa"/>
            <w:shd w:val="clear" w:color="auto" w:fill="E4F1F0"/>
          </w:tcPr>
          <w:p>
            <w:pPr>
              <w:spacing w:before="20" w:after="20" w:line="240" w:lineRule="auto"/>
              <w:jc w:val="right"/>
            </w:pPr>
            <w:r>
              <w:rPr>
                <w:sz w:val="18"/>
              </w:rPr>
            </w:r>
            <w:r>
              <w:rPr>
                <w:sz w:val="17"/>
              </w:rPr>
              <w:t>1</w:t>
            </w:r>
          </w:p>
        </w:tc>
        <w:tc>
          <w:tcPr>
            <w:tcW w:w="2160" w:type="dxa"/>
            <w:shd w:val="clear" w:color="auto" w:fill="E4F1F0"/>
          </w:tcPr>
          <w:p>
            <w:pPr>
              <w:spacing w:before="20" w:after="20" w:line="240" w:lineRule="auto"/>
              <w:jc w:val="right"/>
            </w:pPr>
            <w:r>
              <w:rPr>
                <w:sz w:val="18"/>
              </w:rPr>
            </w:r>
            <w:r>
              <w:rPr>
                <w:sz w:val="17"/>
              </w:rPr>
              <w:t>€32,000</w:t>
            </w:r>
          </w:p>
        </w:tc>
        <w:tc>
          <w:tcPr>
            <w:tcW w:w="2304" w:type="dxa"/>
            <w:shd w:val="clear" w:color="auto" w:fill="E4F1F0"/>
          </w:tcPr>
          <w:p>
            <w:pPr>
              <w:spacing w:before="20" w:after="20" w:line="240" w:lineRule="auto"/>
              <w:jc w:val="right"/>
            </w:pPr>
            <w:r>
              <w:rPr>
                <w:sz w:val="18"/>
              </w:rPr>
            </w:r>
            <w:r>
              <w:rPr>
                <w:sz w:val="17"/>
              </w:rPr>
              <w:t>€32,000</w:t>
            </w:r>
          </w:p>
        </w:tc>
      </w:tr>
      <w:tr>
        <w:tc>
          <w:tcPr>
            <w:tcW w:w="4031" w:type="dxa"/>
          </w:tcPr>
          <w:p>
            <w:pPr>
              <w:spacing w:before="20" w:after="20" w:line="240" w:lineRule="auto"/>
            </w:pPr>
            <w:r>
              <w:rPr>
                <w:sz w:val="18"/>
              </w:rPr>
            </w:r>
            <w:r>
              <w:rPr>
                <w:sz w:val="17"/>
              </w:rPr>
              <w:t>Front-end build (React SSR)</w:t>
            </w:r>
          </w:p>
        </w:tc>
        <w:tc>
          <w:tcPr>
            <w:tcW w:w="864" w:type="dxa"/>
          </w:tcPr>
          <w:p>
            <w:pPr>
              <w:spacing w:before="20" w:after="20" w:line="240" w:lineRule="auto"/>
              <w:jc w:val="right"/>
            </w:pPr>
            <w:r>
              <w:rPr>
                <w:sz w:val="18"/>
              </w:rPr>
            </w:r>
            <w:r>
              <w:rPr>
                <w:sz w:val="17"/>
              </w:rPr>
              <w:t>1</w:t>
            </w:r>
          </w:p>
        </w:tc>
        <w:tc>
          <w:tcPr>
            <w:tcW w:w="2160" w:type="dxa"/>
          </w:tcPr>
          <w:p>
            <w:pPr>
              <w:spacing w:before="20" w:after="20" w:line="240" w:lineRule="auto"/>
              <w:jc w:val="right"/>
            </w:pPr>
            <w:r>
              <w:rPr>
                <w:sz w:val="18"/>
              </w:rPr>
            </w:r>
            <w:r>
              <w:rPr>
                <w:sz w:val="17"/>
              </w:rPr>
              <w:t>€38,000</w:t>
            </w:r>
          </w:p>
        </w:tc>
        <w:tc>
          <w:tcPr>
            <w:tcW w:w="2304" w:type="dxa"/>
          </w:tcPr>
          <w:p>
            <w:pPr>
              <w:spacing w:before="20" w:after="20" w:line="240" w:lineRule="auto"/>
              <w:jc w:val="right"/>
            </w:pPr>
            <w:r>
              <w:rPr>
                <w:sz w:val="18"/>
              </w:rPr>
            </w:r>
            <w:r>
              <w:rPr>
                <w:sz w:val="17"/>
              </w:rPr>
              <w:t>€38,000</w:t>
            </w:r>
          </w:p>
        </w:tc>
      </w:tr>
      <w:tr>
        <w:tc>
          <w:tcPr>
            <w:tcW w:w="4031" w:type="dxa"/>
            <w:shd w:val="clear" w:color="auto" w:fill="E4F1F0"/>
          </w:tcPr>
          <w:p>
            <w:pPr>
              <w:spacing w:before="20" w:after="20" w:line="240" w:lineRule="auto"/>
            </w:pPr>
            <w:r>
              <w:rPr>
                <w:sz w:val="18"/>
              </w:rPr>
            </w:r>
            <w:r>
              <w:rPr>
                <w:sz w:val="17"/>
              </w:rPr>
              <w:t>Headless CMS integration &amp; migration</w:t>
            </w:r>
          </w:p>
        </w:tc>
        <w:tc>
          <w:tcPr>
            <w:tcW w:w="864" w:type="dxa"/>
            <w:shd w:val="clear" w:color="auto" w:fill="E4F1F0"/>
          </w:tcPr>
          <w:p>
            <w:pPr>
              <w:spacing w:before="20" w:after="20" w:line="240" w:lineRule="auto"/>
              <w:jc w:val="right"/>
            </w:pPr>
            <w:r>
              <w:rPr>
                <w:sz w:val="18"/>
              </w:rPr>
            </w:r>
            <w:r>
              <w:rPr>
                <w:sz w:val="17"/>
              </w:rPr>
              <w:t>1</w:t>
            </w:r>
          </w:p>
        </w:tc>
        <w:tc>
          <w:tcPr>
            <w:tcW w:w="2160" w:type="dxa"/>
            <w:shd w:val="clear" w:color="auto" w:fill="E4F1F0"/>
          </w:tcPr>
          <w:p>
            <w:pPr>
              <w:spacing w:before="20" w:after="20" w:line="240" w:lineRule="auto"/>
              <w:jc w:val="right"/>
            </w:pPr>
            <w:r>
              <w:rPr>
                <w:sz w:val="18"/>
              </w:rPr>
            </w:r>
            <w:r>
              <w:rPr>
                <w:sz w:val="17"/>
              </w:rPr>
              <w:t>€22,000</w:t>
            </w:r>
          </w:p>
        </w:tc>
        <w:tc>
          <w:tcPr>
            <w:tcW w:w="2304" w:type="dxa"/>
            <w:shd w:val="clear" w:color="auto" w:fill="E4F1F0"/>
          </w:tcPr>
          <w:p>
            <w:pPr>
              <w:spacing w:before="20" w:after="20" w:line="240" w:lineRule="auto"/>
              <w:jc w:val="right"/>
            </w:pPr>
            <w:r>
              <w:rPr>
                <w:sz w:val="18"/>
              </w:rPr>
            </w:r>
            <w:r>
              <w:rPr>
                <w:sz w:val="17"/>
              </w:rPr>
              <w:t>€22,000</w:t>
            </w:r>
          </w:p>
        </w:tc>
      </w:tr>
      <w:tr>
        <w:tc>
          <w:tcPr>
            <w:tcW w:w="4031" w:type="dxa"/>
          </w:tcPr>
          <w:p>
            <w:pPr>
              <w:spacing w:before="20" w:after="20" w:line="240" w:lineRule="auto"/>
            </w:pPr>
            <w:r>
              <w:rPr>
                <w:sz w:val="18"/>
              </w:rPr>
            </w:r>
            <w:r>
              <w:rPr>
                <w:sz w:val="17"/>
              </w:rPr>
              <w:t>QA, accessibility &amp; launch</w:t>
            </w:r>
          </w:p>
        </w:tc>
        <w:tc>
          <w:tcPr>
            <w:tcW w:w="864" w:type="dxa"/>
          </w:tcPr>
          <w:p>
            <w:pPr>
              <w:spacing w:before="20" w:after="20" w:line="240" w:lineRule="auto"/>
              <w:jc w:val="right"/>
            </w:pPr>
            <w:r>
              <w:rPr>
                <w:sz w:val="18"/>
              </w:rPr>
            </w:r>
            <w:r>
              <w:rPr>
                <w:sz w:val="17"/>
              </w:rPr>
              <w:t>1</w:t>
            </w:r>
          </w:p>
        </w:tc>
        <w:tc>
          <w:tcPr>
            <w:tcW w:w="2160" w:type="dxa"/>
          </w:tcPr>
          <w:p>
            <w:pPr>
              <w:spacing w:before="20" w:after="20" w:line="240" w:lineRule="auto"/>
              <w:jc w:val="right"/>
            </w:pPr>
            <w:r>
              <w:rPr>
                <w:sz w:val="18"/>
              </w:rPr>
            </w:r>
            <w:r>
              <w:rPr>
                <w:sz w:val="17"/>
              </w:rPr>
              <w:t>€12,000</w:t>
            </w:r>
          </w:p>
        </w:tc>
        <w:tc>
          <w:tcPr>
            <w:tcW w:w="2304" w:type="dxa"/>
          </w:tcPr>
          <w:p>
            <w:pPr>
              <w:spacing w:before="20" w:after="20" w:line="240" w:lineRule="auto"/>
              <w:jc w:val="right"/>
            </w:pPr>
            <w:r>
              <w:rPr>
                <w:sz w:val="18"/>
              </w:rPr>
            </w:r>
            <w:r>
              <w:rPr>
                <w:sz w:val="17"/>
              </w:rPr>
              <w:t>€12,000</w:t>
            </w:r>
          </w:p>
        </w:tc>
      </w:tr>
      <w:tr>
        <w:tc>
          <w:tcPr>
            <w:tcW w:w="4031" w:type="dxa"/>
            <w:shd w:val="clear" w:color="auto" w:fill="0A4F50"/>
          </w:tcPr>
          <w:p>
            <w:pPr>
              <w:spacing w:before="20" w:after="20" w:line="240" w:lineRule="auto"/>
            </w:pPr>
            <w:r>
              <w:rPr>
                <w:rFonts w:ascii="Calibri" w:hAnsi="Calibri"/>
                <w:b/>
                <w:color w:val="FFFFFF"/>
                <w:sz w:val="18"/>
              </w:rPr>
            </w:r>
            <w:r>
              <w:rPr>
                <w:rFonts w:ascii="Calibri" w:hAnsi="Calibri"/>
                <w:b/>
                <w:color w:val="FFFFFF"/>
                <w:sz w:val="18"/>
              </w:rPr>
              <w:t>Total (fixed price, excl. VAT)</w:t>
            </w:r>
          </w:p>
        </w:tc>
        <w:tc>
          <w:tcPr>
            <w:tcW w:w="864" w:type="dxa"/>
            <w:shd w:val="clear" w:color="auto" w:fill="0A4F50"/>
          </w:tcPr>
          <w:p>
            <w:pPr>
              <w:spacing w:before="20" w:after="20" w:line="240" w:lineRule="auto"/>
              <w:jc w:val="right"/>
            </w:pPr>
            <w:r>
              <w:rPr>
                <w:rFonts w:ascii="Calibri" w:hAnsi="Calibri"/>
                <w:b/>
                <w:color w:val="FFFFFF"/>
                <w:sz w:val="18"/>
              </w:rPr>
            </w:r>
            <w:r>
              <w:rPr>
                <w:rFonts w:ascii="Calibri" w:hAnsi="Calibri"/>
                <w:b/>
                <w:color w:val="FFFFFF"/>
                <w:sz w:val="18"/>
              </w:rPr>
            </w:r>
          </w:p>
        </w:tc>
        <w:tc>
          <w:tcPr>
            <w:tcW w:w="2160" w:type="dxa"/>
            <w:shd w:val="clear" w:color="auto" w:fill="0A4F50"/>
          </w:tcPr>
          <w:p>
            <w:pPr>
              <w:spacing w:before="20" w:after="20" w:line="240" w:lineRule="auto"/>
              <w:jc w:val="right"/>
            </w:pPr>
            <w:r>
              <w:rPr>
                <w:rFonts w:ascii="Calibri" w:hAnsi="Calibri"/>
                <w:b/>
                <w:color w:val="FFFFFF"/>
                <w:sz w:val="18"/>
              </w:rPr>
            </w:r>
            <w:r>
              <w:rPr>
                <w:rFonts w:ascii="Calibri" w:hAnsi="Calibri"/>
                <w:b/>
                <w:color w:val="FFFFFF"/>
                <w:sz w:val="18"/>
              </w:rPr>
            </w:r>
          </w:p>
        </w:tc>
        <w:tc>
          <w:tcPr>
            <w:tcW w:w="2304" w:type="dxa"/>
            <w:shd w:val="clear" w:color="auto" w:fill="0A4F50"/>
          </w:tcPr>
          <w:p>
            <w:pPr>
              <w:spacing w:before="20" w:after="20" w:line="240" w:lineRule="auto"/>
              <w:jc w:val="right"/>
            </w:pPr>
            <w:r>
              <w:rPr>
                <w:rFonts w:ascii="Calibri" w:hAnsi="Calibri"/>
                <w:b/>
                <w:color w:val="FFFFFF"/>
                <w:sz w:val="18"/>
              </w:rPr>
            </w:r>
            <w:r>
              <w:rPr>
                <w:rFonts w:ascii="Calibri" w:hAnsi="Calibri"/>
                <w:b/>
                <w:color w:val="FFFFFF"/>
                <w:sz w:val="18"/>
              </w:rPr>
              <w:t>€122,000</w:t>
            </w:r>
          </w:p>
        </w:tc>
      </w:tr>
    </w:tbl>
    <w:p>
      <w:pPr>
        <w:pStyle w:val="Heading2"/>
        <w:spacing w:before="200" w:after="80"/>
      </w:pPr>
      <w:r>
        <w:t>Payment schedule</w:t>
      </w:r>
    </w:p>
    <w:tbl>
      <w:tblPr>
        <w:tblStyle w:val="TableGrid"/>
        <w:tblW w:type="auto" w:w="0"/>
        <w:jc w:val="center"/>
        <w:tblLook w:firstColumn="1" w:firstRow="1" w:lastColumn="0" w:lastRow="0" w:noHBand="0" w:noVBand="1" w:val="04A0"/>
        <w:tblLayout w:type="fixed"/>
      </w:tblPr>
      <w:tblGrid>
        <w:gridCol w:w="3120"/>
        <w:gridCol w:w="3120"/>
        <w:gridCol w:w="3120"/>
      </w:tblGrid>
      <w:tr>
        <w:tc>
          <w:tcPr>
            <w:tcW w:w="4320" w:type="dxa"/>
            <w:shd w:val="clear" w:color="auto" w:fill="0F6E6E"/>
          </w:tcPr>
          <w:p>
            <w:pPr>
              <w:spacing w:before="20" w:after="20" w:line="240" w:lineRule="auto"/>
            </w:pPr>
            <w:r>
              <w:rPr>
                <w:sz w:val="18"/>
              </w:rPr>
            </w:r>
            <w:r>
              <w:rPr>
                <w:b/>
                <w:color w:val="FFFFFF"/>
                <w:sz w:val="17"/>
              </w:rPr>
              <w:t>Milestone</w:t>
            </w:r>
          </w:p>
        </w:tc>
        <w:tc>
          <w:tcPr>
            <w:tcW w:w="1440" w:type="dxa"/>
            <w:shd w:val="clear" w:color="auto" w:fill="0F6E6E"/>
          </w:tcPr>
          <w:p>
            <w:pPr>
              <w:spacing w:before="20" w:after="20" w:line="240" w:lineRule="auto"/>
              <w:jc w:val="right"/>
            </w:pPr>
            <w:r>
              <w:rPr>
                <w:sz w:val="18"/>
              </w:rPr>
            </w:r>
            <w:r>
              <w:rPr>
                <w:b/>
                <w:color w:val="FFFFFF"/>
                <w:sz w:val="17"/>
              </w:rPr>
              <w:t>Share</w:t>
            </w:r>
          </w:p>
        </w:tc>
        <w:tc>
          <w:tcPr>
            <w:tcW w:w="3600" w:type="dxa"/>
            <w:shd w:val="clear" w:color="auto" w:fill="0F6E6E"/>
          </w:tcPr>
          <w:p>
            <w:pPr>
              <w:spacing w:before="20" w:after="20" w:line="240" w:lineRule="auto"/>
              <w:jc w:val="right"/>
            </w:pPr>
            <w:r>
              <w:rPr>
                <w:sz w:val="18"/>
              </w:rPr>
            </w:r>
            <w:r>
              <w:rPr>
                <w:b/>
                <w:color w:val="FFFFFF"/>
                <w:sz w:val="17"/>
              </w:rPr>
              <w:t>Amount</w:t>
            </w:r>
          </w:p>
        </w:tc>
      </w:tr>
      <w:tr>
        <w:tc>
          <w:tcPr>
            <w:tcW w:w="4320" w:type="dxa"/>
          </w:tcPr>
          <w:p>
            <w:pPr>
              <w:spacing w:before="20" w:after="20" w:line="240" w:lineRule="auto"/>
            </w:pPr>
            <w:r>
              <w:rPr>
                <w:sz w:val="18"/>
              </w:rPr>
            </w:r>
            <w:r>
              <w:rPr>
                <w:sz w:val="17"/>
              </w:rPr>
              <w:t>On signature (mobilisation)</w:t>
            </w:r>
          </w:p>
        </w:tc>
        <w:tc>
          <w:tcPr>
            <w:tcW w:w="1440" w:type="dxa"/>
          </w:tcPr>
          <w:p>
            <w:pPr>
              <w:spacing w:before="20" w:after="20" w:line="240" w:lineRule="auto"/>
              <w:jc w:val="right"/>
            </w:pPr>
            <w:r>
              <w:rPr>
                <w:sz w:val="18"/>
              </w:rPr>
            </w:r>
            <w:r>
              <w:rPr>
                <w:sz w:val="17"/>
              </w:rPr>
              <w:t>20%</w:t>
            </w:r>
          </w:p>
        </w:tc>
        <w:tc>
          <w:tcPr>
            <w:tcW w:w="3600" w:type="dxa"/>
          </w:tcPr>
          <w:p>
            <w:pPr>
              <w:spacing w:before="20" w:after="20" w:line="240" w:lineRule="auto"/>
              <w:jc w:val="right"/>
            </w:pPr>
            <w:r>
              <w:rPr>
                <w:sz w:val="18"/>
              </w:rPr>
            </w:r>
            <w:r>
              <w:rPr>
                <w:sz w:val="17"/>
              </w:rPr>
              <w:t>€24,400</w:t>
            </w:r>
          </w:p>
        </w:tc>
      </w:tr>
      <w:tr>
        <w:tc>
          <w:tcPr>
            <w:tcW w:w="4320" w:type="dxa"/>
            <w:shd w:val="clear" w:color="auto" w:fill="E4F1F0"/>
          </w:tcPr>
          <w:p>
            <w:pPr>
              <w:spacing w:before="20" w:after="20" w:line="240" w:lineRule="auto"/>
            </w:pPr>
            <w:r>
              <w:rPr>
                <w:sz w:val="18"/>
              </w:rPr>
            </w:r>
            <w:r>
              <w:rPr>
                <w:sz w:val="17"/>
              </w:rPr>
              <w:t>Design sign-off (M2)</w:t>
            </w:r>
          </w:p>
        </w:tc>
        <w:tc>
          <w:tcPr>
            <w:tcW w:w="1440" w:type="dxa"/>
            <w:shd w:val="clear" w:color="auto" w:fill="E4F1F0"/>
          </w:tcPr>
          <w:p>
            <w:pPr>
              <w:spacing w:before="20" w:after="20" w:line="240" w:lineRule="auto"/>
              <w:jc w:val="right"/>
            </w:pPr>
            <w:r>
              <w:rPr>
                <w:sz w:val="18"/>
              </w:rPr>
            </w:r>
            <w:r>
              <w:rPr>
                <w:sz w:val="17"/>
              </w:rPr>
              <w:t>30%</w:t>
            </w:r>
          </w:p>
        </w:tc>
        <w:tc>
          <w:tcPr>
            <w:tcW w:w="3600" w:type="dxa"/>
            <w:shd w:val="clear" w:color="auto" w:fill="E4F1F0"/>
          </w:tcPr>
          <w:p>
            <w:pPr>
              <w:spacing w:before="20" w:after="20" w:line="240" w:lineRule="auto"/>
              <w:jc w:val="right"/>
            </w:pPr>
            <w:r>
              <w:rPr>
                <w:sz w:val="18"/>
              </w:rPr>
            </w:r>
            <w:r>
              <w:rPr>
                <w:sz w:val="17"/>
              </w:rPr>
              <w:t>€36,600</w:t>
            </w:r>
          </w:p>
        </w:tc>
      </w:tr>
      <w:tr>
        <w:tc>
          <w:tcPr>
            <w:tcW w:w="4320" w:type="dxa"/>
          </w:tcPr>
          <w:p>
            <w:pPr>
              <w:spacing w:before="20" w:after="20" w:line="240" w:lineRule="auto"/>
            </w:pPr>
            <w:r>
              <w:rPr>
                <w:sz w:val="18"/>
              </w:rPr>
            </w:r>
            <w:r>
              <w:rPr>
                <w:sz w:val="17"/>
              </w:rPr>
              <w:t>Beta / UAT (M3)</w:t>
            </w:r>
          </w:p>
        </w:tc>
        <w:tc>
          <w:tcPr>
            <w:tcW w:w="1440" w:type="dxa"/>
          </w:tcPr>
          <w:p>
            <w:pPr>
              <w:spacing w:before="20" w:after="20" w:line="240" w:lineRule="auto"/>
              <w:jc w:val="right"/>
            </w:pPr>
            <w:r>
              <w:rPr>
                <w:sz w:val="18"/>
              </w:rPr>
            </w:r>
            <w:r>
              <w:rPr>
                <w:sz w:val="17"/>
              </w:rPr>
              <w:t>30%</w:t>
            </w:r>
          </w:p>
        </w:tc>
        <w:tc>
          <w:tcPr>
            <w:tcW w:w="3600" w:type="dxa"/>
          </w:tcPr>
          <w:p>
            <w:pPr>
              <w:spacing w:before="20" w:after="20" w:line="240" w:lineRule="auto"/>
              <w:jc w:val="right"/>
            </w:pPr>
            <w:r>
              <w:rPr>
                <w:sz w:val="18"/>
              </w:rPr>
            </w:r>
            <w:r>
              <w:rPr>
                <w:sz w:val="17"/>
              </w:rPr>
              <w:t>€36,600</w:t>
            </w:r>
          </w:p>
        </w:tc>
      </w:tr>
      <w:tr>
        <w:tc>
          <w:tcPr>
            <w:tcW w:w="4320" w:type="dxa"/>
            <w:shd w:val="clear" w:color="auto" w:fill="E4F1F0"/>
          </w:tcPr>
          <w:p>
            <w:pPr>
              <w:spacing w:before="20" w:after="20" w:line="240" w:lineRule="auto"/>
            </w:pPr>
            <w:r>
              <w:rPr>
                <w:sz w:val="18"/>
              </w:rPr>
            </w:r>
            <w:r>
              <w:rPr>
                <w:sz w:val="17"/>
              </w:rPr>
              <w:t>Go-live &amp; acceptance (M4)</w:t>
            </w:r>
          </w:p>
        </w:tc>
        <w:tc>
          <w:tcPr>
            <w:tcW w:w="1440" w:type="dxa"/>
            <w:shd w:val="clear" w:color="auto" w:fill="E4F1F0"/>
          </w:tcPr>
          <w:p>
            <w:pPr>
              <w:spacing w:before="20" w:after="20" w:line="240" w:lineRule="auto"/>
              <w:jc w:val="right"/>
            </w:pPr>
            <w:r>
              <w:rPr>
                <w:sz w:val="18"/>
              </w:rPr>
            </w:r>
            <w:r>
              <w:rPr>
                <w:sz w:val="17"/>
              </w:rPr>
              <w:t>20%</w:t>
            </w:r>
          </w:p>
        </w:tc>
        <w:tc>
          <w:tcPr>
            <w:tcW w:w="3600" w:type="dxa"/>
            <w:shd w:val="clear" w:color="auto" w:fill="E4F1F0"/>
          </w:tcPr>
          <w:p>
            <w:pPr>
              <w:spacing w:before="20" w:after="20" w:line="240" w:lineRule="auto"/>
              <w:jc w:val="right"/>
            </w:pPr>
            <w:r>
              <w:rPr>
                <w:sz w:val="18"/>
              </w:rPr>
            </w:r>
            <w:r>
              <w:rPr>
                <w:sz w:val="17"/>
              </w:rPr>
              <w:t>€24,400</w:t>
            </w:r>
          </w:p>
        </w:tc>
      </w:tr>
      <w:tr>
        <w:tc>
          <w:tcPr>
            <w:tcW w:w="4320" w:type="dxa"/>
            <w:shd w:val="clear" w:color="auto" w:fill="16232B"/>
          </w:tcPr>
          <w:p>
            <w:pPr>
              <w:spacing w:before="20" w:after="20" w:line="240" w:lineRule="auto"/>
            </w:pPr>
            <w:r>
              <w:rPr>
                <w:rFonts w:ascii="Calibri" w:hAnsi="Calibri"/>
                <w:b/>
                <w:color w:val="FFFFFF"/>
                <w:sz w:val="18"/>
              </w:rPr>
            </w:r>
            <w:r>
              <w:rPr>
                <w:rFonts w:ascii="Calibri" w:hAnsi="Calibri"/>
                <w:b/>
                <w:color w:val="FFFFFF"/>
                <w:sz w:val="18"/>
              </w:rPr>
              <w:t>Total</w:t>
            </w:r>
          </w:p>
        </w:tc>
        <w:tc>
          <w:tcPr>
            <w:tcW w:w="1440" w:type="dxa"/>
            <w:shd w:val="clear" w:color="auto" w:fill="16232B"/>
          </w:tcPr>
          <w:p>
            <w:pPr>
              <w:spacing w:before="20" w:after="20" w:line="240" w:lineRule="auto"/>
              <w:jc w:val="right"/>
            </w:pPr>
            <w:r>
              <w:rPr>
                <w:rFonts w:ascii="Calibri" w:hAnsi="Calibri"/>
                <w:b/>
                <w:color w:val="FFFFFF"/>
                <w:sz w:val="18"/>
              </w:rPr>
            </w:r>
            <w:r>
              <w:rPr>
                <w:rFonts w:ascii="Calibri" w:hAnsi="Calibri"/>
                <w:b/>
                <w:color w:val="FFFFFF"/>
                <w:sz w:val="18"/>
              </w:rPr>
              <w:t>100%</w:t>
            </w:r>
          </w:p>
        </w:tc>
        <w:tc>
          <w:tcPr>
            <w:tcW w:w="3600" w:type="dxa"/>
            <w:shd w:val="clear" w:color="auto" w:fill="16232B"/>
          </w:tcPr>
          <w:p>
            <w:pPr>
              <w:spacing w:before="20" w:after="20" w:line="240" w:lineRule="auto"/>
              <w:jc w:val="right"/>
            </w:pPr>
            <w:r>
              <w:rPr>
                <w:rFonts w:ascii="Calibri" w:hAnsi="Calibri"/>
                <w:b/>
                <w:color w:val="FFFFFF"/>
                <w:sz w:val="18"/>
              </w:rPr>
            </w:r>
            <w:r>
              <w:rPr>
                <w:rFonts w:ascii="Calibri" w:hAnsi="Calibri"/>
                <w:b/>
                <w:color w:val="FFFFFF"/>
                <w:sz w:val="18"/>
              </w:rPr>
              <w:t>€122,000</w:t>
            </w:r>
          </w:p>
        </w:tc>
      </w:tr>
    </w:tbl>
    <w:p>
      <w:pPr>
        <w:pageBreakBefore/>
        <w:spacing w:before="0" w:after="20" w:line="269" w:lineRule="auto"/>
      </w:pPr>
      <w:r>
        <w:rPr>
          <w:rFonts w:ascii="Calibri" w:hAnsi="Calibri"/>
          <w:b/>
          <w:i w:val="0"/>
          <w:color w:val="0F6E6E"/>
          <w:sz w:val="17"/>
          <w:spacing w:val="40"/>
        </w:rPr>
        <w:t>SECTION 06</w:t>
      </w:r>
    </w:p>
    <w:p>
      <w:pPr>
        <w:pStyle w:val="Heading1"/>
        <w:spacing w:before="40" w:after="120"/>
      </w:pPr>
      <w:r>
        <w:t>Assumptions, terms &amp; sign-off</w:t>
      </w:r>
    </w:p>
    <w:p>
      <w:pPr>
        <w:pStyle w:val="Heading2"/>
        <w:spacing w:before="40" w:after="80"/>
      </w:pPr>
      <w:r>
        <w:t>Assumptions</w:t>
      </w:r>
    </w:p>
    <w:p>
      <w:pPr>
        <w:numPr>
          <w:ilvl w:val="0"/>
          <w:numId w:val="14"/>
        </w:numPr>
        <w:spacing w:after="40" w:line="259" w:lineRule="auto"/>
      </w:pPr>
      <w:r>
        <w:rPr>
          <w:rFonts w:ascii="Calibri" w:hAnsi="Calibri"/>
          <w:color w:val="16232B"/>
          <w:sz w:val="19"/>
        </w:rPr>
        <w:t>Brand assets, photography and copy are supplied by Maison Solene in usable formats.</w:t>
      </w:r>
    </w:p>
    <w:p>
      <w:pPr>
        <w:numPr>
          <w:ilvl w:val="0"/>
          <w:numId w:val="14"/>
        </w:numPr>
        <w:spacing w:after="40" w:line="259" w:lineRule="auto"/>
      </w:pPr>
      <w:r>
        <w:rPr>
          <w:rFonts w:ascii="Calibri" w:hAnsi="Calibri"/>
          <w:color w:val="16232B"/>
          <w:sz w:val="19"/>
        </w:rPr>
        <w:t>A single client decision-maker consolidates and returns feedback within five working days per gate.</w:t>
      </w:r>
    </w:p>
    <w:p>
      <w:pPr>
        <w:numPr>
          <w:ilvl w:val="0"/>
          <w:numId w:val="14"/>
        </w:numPr>
        <w:spacing w:after="40" w:line="259" w:lineRule="auto"/>
      </w:pPr>
      <w:r>
        <w:rPr>
          <w:rFonts w:ascii="Calibri" w:hAnsi="Calibri"/>
          <w:color w:val="16232B"/>
          <w:sz w:val="19"/>
        </w:rPr>
        <w:t>The existing commerce back end exposes a stable API for product data.</w:t>
      </w:r>
    </w:p>
    <w:p>
      <w:pPr>
        <w:numPr>
          <w:ilvl w:val="0"/>
          <w:numId w:val="14"/>
        </w:numPr>
        <w:spacing w:after="40" w:line="259" w:lineRule="auto"/>
      </w:pPr>
      <w:r>
        <w:rPr>
          <w:rFonts w:ascii="Calibri" w:hAnsi="Calibri"/>
          <w:color w:val="16232B"/>
          <w:sz w:val="19"/>
        </w:rPr>
        <w:t>Third-party licences (fonts, CMS, hosting) are procured in the client's name.</w:t>
      </w:r>
    </w:p>
    <w:p>
      <w:pPr>
        <w:pStyle w:val="Heading2"/>
        <w:spacing w:before="160" w:after="80"/>
      </w:pPr>
      <w:r>
        <w:t>Terms</w:t>
      </w:r>
    </w:p>
    <w:p>
      <w:pPr>
        <w:numPr>
          <w:ilvl w:val="0"/>
          <w:numId w:val="15"/>
        </w:numPr>
        <w:spacing w:after="60" w:line="259" w:lineRule="auto"/>
      </w:pPr>
      <w:r>
        <w:rPr>
          <w:rFonts w:ascii="Calibri" w:hAnsi="Calibri"/>
          <w:color w:val="16232B"/>
          <w:sz w:val="19"/>
        </w:rPr>
        <w:t>This is a fixed-price engagement; the fee covers the scope defined in Section 3. Changes are handled by written change request, estimated and approved before work begins.</w:t>
      </w:r>
    </w:p>
    <w:p>
      <w:pPr>
        <w:numPr>
          <w:ilvl w:val="0"/>
          <w:numId w:val="15"/>
        </w:numPr>
        <w:spacing w:after="60" w:line="259" w:lineRule="auto"/>
      </w:pPr>
      <w:r>
        <w:rPr>
          <w:rFonts w:ascii="Calibri" w:hAnsi="Calibri"/>
          <w:color w:val="16232B"/>
          <w:sz w:val="19"/>
        </w:rPr>
        <w:t>Invoices are issued against the payment schedule and due within 30 days. Work may pause on overdue invoices beyond 15 days.</w:t>
      </w:r>
    </w:p>
    <w:p>
      <w:pPr>
        <w:numPr>
          <w:ilvl w:val="0"/>
          <w:numId w:val="15"/>
        </w:numPr>
        <w:spacing w:after="60" w:line="259" w:lineRule="auto"/>
      </w:pPr>
      <w:r>
        <w:rPr>
          <w:rFonts w:ascii="Calibri" w:hAnsi="Calibri"/>
          <w:color w:val="16232B"/>
          <w:sz w:val="19"/>
        </w:rPr>
        <w:t>Intellectual property in delivered code and designs transfers to Maison Solene on final payment; Halden &amp; Vane retains the right to reference the work in its portfolio.</w:t>
      </w:r>
    </w:p>
    <w:p>
      <w:pPr>
        <w:numPr>
          <w:ilvl w:val="0"/>
          <w:numId w:val="15"/>
        </w:numPr>
        <w:spacing w:after="60" w:line="259" w:lineRule="auto"/>
      </w:pPr>
      <w:r>
        <w:rPr>
          <w:rFonts w:ascii="Calibri" w:hAnsi="Calibri"/>
          <w:color w:val="16232B"/>
          <w:sz w:val="19"/>
        </w:rPr>
        <w:t>Each deliverable is deemed accepted when its acceptance criteria are met, or five working days after delivery absent written objection.</w:t>
      </w:r>
    </w:p>
    <w:p>
      <w:pPr>
        <w:numPr>
          <w:ilvl w:val="0"/>
          <w:numId w:val="15"/>
        </w:numPr>
        <w:spacing w:after="60" w:line="259" w:lineRule="auto"/>
      </w:pPr>
      <w:r>
        <w:rPr>
          <w:rFonts w:ascii="Calibri" w:hAnsi="Calibri"/>
          <w:color w:val="16232B"/>
          <w:sz w:val="19"/>
        </w:rPr>
        <w:t>A two-week warranty covers defects after go-live. Either party may terminate for material breach on 15 days' written notice; work delivered to date is payable.</w:t>
      </w:r>
    </w:p>
    <w:p>
      <w:pPr>
        <w:pStyle w:val="Heading2"/>
        <w:spacing w:before="160" w:after="80"/>
      </w:pPr>
      <w:r>
        <w:t>Acceptance &amp; sign-off</w:t>
      </w:r>
    </w:p>
    <w:p>
      <w:pPr>
        <w:spacing w:before="0" w:after="200" w:line="269" w:lineRule="auto"/>
      </w:pPr>
      <w:r>
        <w:rPr>
          <w:rFonts w:ascii="Calibri" w:hAnsi="Calibri"/>
          <w:b w:val="0"/>
          <w:i w:val="0"/>
          <w:color w:val="16232B"/>
          <w:sz w:val="19"/>
        </w:rPr>
        <w:t>Signing below indicates agreement to this proposal and statement of work, including the scope, timeline, pricing and terms set out above.</w:t>
      </w:r>
    </w:p>
    <w:tbl>
      <w:tblPr>
        <w:tblW w:type="auto" w:w="0"/>
        <w:tblLayout w:type="fixed"/>
        <w:tblLook w:firstColumn="1" w:firstRow="1" w:lastColumn="0" w:lastRow="0" w:noHBand="0" w:noVBand="1" w:val="04A0"/>
        <w:tblLayout w:type="fixed"/>
      </w:tblPr>
      <w:tblGrid>
        <w:gridCol w:w="4680"/>
        <w:gridCol w:w="4680"/>
      </w:tblGrid>
      <w:tr>
        <w:tc>
          <w:tcPr>
            <w:tcW w:w="4536" w:type="dxa"/>
          </w:tcPr>
          <w:p>
            <w:pPr>
              <w:spacing w:after="40"/>
            </w:pPr>
            <w:r/>
            <w:r>
              <w:rPr>
                <w:rFonts w:ascii="Calibri" w:hAnsi="Calibri"/>
                <w:b/>
                <w:color w:val="0F6E6E"/>
                <w:sz w:val="16"/>
                <w:spacing w:val="40"/>
              </w:rPr>
              <w:t>FOR THE CLIENT</w:t>
            </w:r>
            <w:r>
              <w:rPr>
                <w:rFonts w:ascii="Calibri" w:hAnsi="Calibri"/>
                <w:b/>
                <w:color w:val="16232B"/>
                <w:sz w:val="19"/>
              </w:rPr>
              <w:t xml:space="preserve">   Maison Solene</w:t>
            </w:r>
          </w:p>
          <w:p>
            <w:pPr>
              <w:spacing w:before="320" w:after="0"/>
              <w:pBdr>
                <w:bottom w:val="single" w:sz="6" w:space="1" w:color="3A4A54"/>
              </w:pBdr>
            </w:pPr>
          </w:p>
          <w:p>
            <w:pPr>
              <w:spacing w:before="20" w:after="0"/>
            </w:pPr>
            <w:r>
              <w:rPr>
                <w:rFonts w:ascii="Calibri" w:hAnsi="Calibri"/>
                <w:color w:val="3A4A54"/>
                <w:sz w:val="16"/>
              </w:rPr>
              <w:t>Signature</w:t>
            </w:r>
          </w:p>
          <w:p>
            <w:pPr>
              <w:spacing w:before="320" w:after="0"/>
              <w:pBdr>
                <w:bottom w:val="single" w:sz="6" w:space="1" w:color="3A4A54"/>
              </w:pBdr>
            </w:pPr>
          </w:p>
          <w:p>
            <w:pPr>
              <w:spacing w:before="20" w:after="0"/>
            </w:pPr>
            <w:r>
              <w:rPr>
                <w:rFonts w:ascii="Calibri" w:hAnsi="Calibri"/>
                <w:color w:val="3A4A54"/>
                <w:sz w:val="16"/>
              </w:rPr>
              <w:t>Name and title</w:t>
            </w:r>
          </w:p>
          <w:p>
            <w:pPr>
              <w:spacing w:before="320" w:after="0"/>
              <w:pBdr>
                <w:bottom w:val="single" w:sz="6" w:space="1" w:color="3A4A54"/>
              </w:pBdr>
            </w:pPr>
          </w:p>
          <w:p>
            <w:pPr>
              <w:spacing w:before="20" w:after="0"/>
            </w:pPr>
            <w:r>
              <w:rPr>
                <w:rFonts w:ascii="Calibri" w:hAnsi="Calibri"/>
                <w:color w:val="3A4A54"/>
                <w:sz w:val="16"/>
              </w:rPr>
              <w:t>Date</w:t>
            </w:r>
          </w:p>
          <w:p>
            <w:pPr>
              <w:spacing w:before="120"/>
            </w:pPr>
            <w:r>
              <w:rPr>
                <w:rFonts w:ascii="Calibri" w:hAnsi="Calibri"/>
                <w:b/>
                <w:color w:val="16232B"/>
                <w:sz w:val="19"/>
              </w:rPr>
              <w:t>Theo Marchand</w:t>
            </w:r>
            <w:r>
              <w:rPr>
                <w:rFonts w:ascii="Calibri" w:hAnsi="Calibri"/>
                <w:color w:val="3A4A54"/>
                <w:sz w:val="18"/>
              </w:rPr>
              <w:t xml:space="preserve">   — Head of Digital</w:t>
            </w:r>
          </w:p>
        </w:tc>
        <w:tc>
          <w:tcPr>
            <w:tcW w:w="4824" w:type="dxa"/>
          </w:tcPr>
          <w:p>
            <w:pPr>
              <w:spacing w:after="40"/>
            </w:pPr>
            <w:r/>
            <w:r>
              <w:rPr>
                <w:rFonts w:ascii="Calibri" w:hAnsi="Calibri"/>
                <w:b/>
                <w:color w:val="0F6E6E"/>
                <w:sz w:val="16"/>
                <w:spacing w:val="40"/>
              </w:rPr>
              <w:t>FOR THE AGENCY</w:t>
            </w:r>
            <w:r>
              <w:rPr>
                <w:rFonts w:ascii="Calibri" w:hAnsi="Calibri"/>
                <w:b/>
                <w:color w:val="16232B"/>
                <w:sz w:val="19"/>
              </w:rPr>
              <w:t xml:space="preserve">   Halden &amp; Vane</w:t>
            </w:r>
          </w:p>
          <w:p>
            <w:pPr>
              <w:spacing w:before="320" w:after="0"/>
              <w:pBdr>
                <w:bottom w:val="single" w:sz="6" w:space="1" w:color="3A4A54"/>
              </w:pBdr>
            </w:pPr>
          </w:p>
          <w:p>
            <w:pPr>
              <w:spacing w:before="20" w:after="0"/>
            </w:pPr>
            <w:r>
              <w:rPr>
                <w:rFonts w:ascii="Calibri" w:hAnsi="Calibri"/>
                <w:color w:val="3A4A54"/>
                <w:sz w:val="16"/>
              </w:rPr>
              <w:t>Signature</w:t>
            </w:r>
          </w:p>
          <w:p>
            <w:pPr>
              <w:spacing w:before="320" w:after="0"/>
              <w:pBdr>
                <w:bottom w:val="single" w:sz="6" w:space="1" w:color="3A4A54"/>
              </w:pBdr>
            </w:pPr>
          </w:p>
          <w:p>
            <w:pPr>
              <w:spacing w:before="20" w:after="0"/>
            </w:pPr>
            <w:r>
              <w:rPr>
                <w:rFonts w:ascii="Calibri" w:hAnsi="Calibri"/>
                <w:color w:val="3A4A54"/>
                <w:sz w:val="16"/>
              </w:rPr>
              <w:t>Name and title</w:t>
            </w:r>
          </w:p>
          <w:p>
            <w:pPr>
              <w:spacing w:before="320" w:after="0"/>
              <w:pBdr>
                <w:bottom w:val="single" w:sz="6" w:space="1" w:color="3A4A54"/>
              </w:pBdr>
            </w:pPr>
          </w:p>
          <w:p>
            <w:pPr>
              <w:spacing w:before="20" w:after="0"/>
            </w:pPr>
            <w:r>
              <w:rPr>
                <w:rFonts w:ascii="Calibri" w:hAnsi="Calibri"/>
                <w:color w:val="3A4A54"/>
                <w:sz w:val="16"/>
              </w:rPr>
              <w:t>Date</w:t>
            </w:r>
          </w:p>
          <w:p>
            <w:pPr>
              <w:spacing w:before="120"/>
            </w:pPr>
            <w:r>
              <w:rPr>
                <w:rFonts w:ascii="Calibri" w:hAnsi="Calibri"/>
                <w:b/>
                <w:color w:val="16232B"/>
                <w:sz w:val="19"/>
              </w:rPr>
              <w:t>Priya Anand</w:t>
            </w:r>
            <w:r>
              <w:rPr>
                <w:rFonts w:ascii="Calibri" w:hAnsi="Calibri"/>
                <w:color w:val="3A4A54"/>
                <w:sz w:val="18"/>
              </w:rPr>
              <w:t xml:space="preserve">   — Engagement Lead</w:t>
            </w:r>
          </w:p>
        </w:tc>
      </w:tr>
    </w:tbl>
    <w:sectPr w:rsidR="00FC693F" w:rsidRPr="0006063C" w:rsidSect="00034616">
      <w:headerReference w:type="default" r:id="rId12"/>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val="right" w:pos="9360"/>
      </w:tabs>
    </w:pPr>
    <w:r>
      <w:rPr>
        <w:rFonts w:ascii="Calibri" w:hAnsi="Calibri"/>
        <w:color w:val="3A4A54"/>
        <w:sz w:val="16"/>
      </w:rPr>
    </w:r>
    <w:r>
      <w:rPr>
        <w:rFonts w:ascii="Calibri" w:hAnsi="Calibri"/>
        <w:color w:val="3A4A54"/>
        <w:sz w:val="16"/>
      </w:rPr>
      <w:t>Confidential — Halden &amp; Vane for Maison Solene</w:t>
    </w:r>
    <w:r>
      <w:rPr>
        <w:rFonts w:ascii="Calibri" w:hAnsi="Calibri"/>
        <w:color w:val="3A4A54"/>
        <w:sz w:val="16"/>
      </w:rPr>
      <w:tab/>
    </w:r>
    <w:r>
      <w:rPr>
        <w:rFonts w:ascii="Calibri" w:hAnsi="Calibri"/>
        <w:color w:val="3A4A54"/>
        <w:sz w:val="16"/>
      </w:rPr>
      <w:t xml:space="preserve">Page </w:t>
    </w:r>
    <w:r>
      <w:rPr>
        <w:rFonts w:ascii="Calibri" w:hAnsi="Calibri"/>
        <w:color w:val="3A4A54"/>
        <w:sz w:val="16"/>
      </w:rPr>
      <w:fldChar w:fldCharType="begin"/>
    </w:r>
    <w:r>
      <w:rPr>
        <w:rFonts w:ascii="Calibri" w:hAnsi="Calibri"/>
        <w:color w:val="3A4A54"/>
        <w:sz w:val="16"/>
      </w:rPr>
      <w:instrText xml:space="preserve"> PAGE </w:instrText>
    </w:r>
    <w:r>
      <w:rPr>
        <w:rFonts w:ascii="Calibri" w:hAnsi="Calibri"/>
        <w:color w:val="3A4A54"/>
        <w:sz w:val="16"/>
      </w:rPr>
      <w:fldChar w:fldCharType="separate"/>
    </w:r>
    <w:r>
      <w:rPr>
        <w:rFonts w:ascii="Calibri" w:hAnsi="Calibri"/>
        <w:color w:val="3A4A54"/>
        <w:sz w:val="16"/>
      </w:rPr>
      <w:t>1</w:t>
    </w:r>
    <w:r>
      <w:rPr>
        <w:rFonts w:ascii="Calibri" w:hAnsi="Calibri"/>
        <w:color w:val="3A4A54"/>
        <w:sz w:val="16"/>
      </w:rPr>
      <w:fldChar w:fldCharType="end"/>
    </w:r>
    <w:r>
      <w:rPr>
        <w:rFonts w:ascii="Calibri" w:hAnsi="Calibri"/>
        <w:color w:val="3A4A54"/>
        <w:sz w:val="16"/>
      </w:rPr>
      <w:t xml:space="preserve"> of </w:t>
    </w:r>
    <w:r>
      <w:rPr>
        <w:rFonts w:ascii="Calibri" w:hAnsi="Calibri"/>
        <w:color w:val="3A4A54"/>
        <w:sz w:val="16"/>
      </w:rPr>
      <w:fldChar w:fldCharType="begin"/>
    </w:r>
    <w:r>
      <w:rPr>
        <w:rFonts w:ascii="Calibri" w:hAnsi="Calibri"/>
        <w:color w:val="3A4A54"/>
        <w:sz w:val="16"/>
      </w:rPr>
      <w:instrText xml:space="preserve"> NUMPAGES </w:instrText>
    </w:r>
    <w:r>
      <w:rPr>
        <w:rFonts w:ascii="Calibri" w:hAnsi="Calibri"/>
        <w:color w:val="3A4A54"/>
        <w:sz w:val="16"/>
      </w:rPr>
      <w:fldChar w:fldCharType="separate"/>
    </w:r>
    <w:r>
      <w:rPr>
        <w:rFonts w:ascii="Calibri" w:hAnsi="Calibri"/>
        <w:color w:val="3A4A54"/>
        <w:sz w:val="16"/>
      </w:rPr>
      <w:t>1</w:t>
    </w:r>
    <w:r>
      <w:rPr>
        <w:rFonts w:ascii="Calibri" w:hAnsi="Calibri"/>
        <w:color w:val="3A4A54"/>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val="right" w:pos="9360"/>
      </w:tabs>
    </w:pPr>
    <w:r>
      <w:rPr>
        <w:rFonts w:ascii="Calibri" w:hAnsi="Calibri"/>
        <w:color w:val="3A4A54"/>
        <w:sz w:val="16"/>
      </w:rPr>
    </w:r>
    <w:r>
      <w:rPr>
        <w:rFonts w:ascii="Calibri" w:hAnsi="Calibri"/>
        <w:color w:val="3A4A54"/>
        <w:sz w:val="16"/>
      </w:rPr>
      <w:t>Halden &amp; Vane · Website Rebuild</w:t>
    </w:r>
    <w:r>
      <w:rPr>
        <w:rFonts w:ascii="Calibri" w:hAnsi="Calibri"/>
        <w:color w:val="3A4A54"/>
        <w:sz w:val="16"/>
      </w:rPr>
      <w:tab/>
    </w:r>
    <w:r>
      <w:rPr>
        <w:rFonts w:ascii="Calibri" w:hAnsi="Calibri"/>
        <w:color w:val="3A4A54"/>
        <w:sz w:val="16"/>
      </w:rPr>
      <w:t>HV-2026-071 · v1.2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multilevel"/>
    <w:lvl w:ilvl="0">
      <w:start w:val="1"/>
      <w:numFmt w:val="decimal"/>
      <w:lvlText w:val="%1."/>
      <w:lvlJc w:val="left"/>
      <w:pPr>
        <w:ind w:left="360" w:hanging="360"/>
      </w:pPr>
    </w:lvl>
    <w:lvl w:ilvl="1">
      <w:start w:val="1"/>
      <w:numFmt w:val="decimal"/>
      <w:lvlText w:val="%1.%2."/>
      <w:lvlJc w:val="left"/>
      <w:pPr>
        <w:ind w:left="720" w:hanging="360"/>
      </w:pPr>
    </w:lvl>
  </w:abstractNum>
  <w:abstractNum w:abstractNumId="10">
    <w:multiLevelType w:val="multilevel"/>
    <w:lvl w:ilvl="0">
      <w:start w:val="1"/>
      <w:numFmt w:val="decimal"/>
      <w:lvlText w:val="%1."/>
      <w:lvlJc w:val="left"/>
      <w:pPr>
        <w:ind w:left="360" w:hanging="360"/>
      </w:pPr>
    </w:lvl>
    <w:lvl w:ilvl="1">
      <w:start w:val="1"/>
      <w:numFmt w:val="decimal"/>
      <w:lvlText w:val="%1.%2."/>
      <w:lvlJc w:val="left"/>
      <w:pPr>
        <w:ind w:left="720" w:hanging="360"/>
      </w:pPr>
    </w:lvl>
  </w:abstractNum>
  <w:abstractNum w:abstractNumId="11">
    <w:multiLevelType w:val="multilevel"/>
    <w:lvl w:ilvl="0">
      <w:start w:val="1"/>
      <w:numFmt w:val="decimal"/>
      <w:lvlText w:val="%1."/>
      <w:lvlJc w:val="left"/>
      <w:pPr>
        <w:ind w:left="360" w:hanging="360"/>
      </w:pPr>
    </w:lvl>
    <w:lvl w:ilvl="1">
      <w:start w:val="1"/>
      <w:numFmt w:val="decimal"/>
      <w:lvlText w:val="%1.%2."/>
      <w:lvlJc w:val="left"/>
      <w:pPr>
        <w:ind w:left="720" w:hanging="360"/>
      </w:pPr>
    </w:lvl>
  </w:abstractNum>
  <w:abstractNum w:abstractNumId="12">
    <w:multiLevelType w:val="multilevel"/>
    <w:lvl w:ilvl="0">
      <w:start w:val="1"/>
      <w:numFmt w:val="decimal"/>
      <w:lvlText w:val="%1."/>
      <w:lvlJc w:val="left"/>
      <w:pPr>
        <w:ind w:left="360" w:hanging="360"/>
      </w:pPr>
    </w:lvl>
    <w:lvl w:ilvl="1">
      <w:start w:val="1"/>
      <w:numFmt w:val="decimal"/>
      <w:lvlText w:val="%1.%2."/>
      <w:lvlJc w:val="left"/>
      <w:pPr>
        <w:ind w:left="720" w:hanging="360"/>
      </w:pPr>
    </w:lvl>
  </w:abstractNum>
  <w:abstractNum w:abstractNumId="13">
    <w:multiLevelType w:val="multilevel"/>
    <w:lvl w:ilvl="0">
      <w:start w:val="1"/>
      <w:numFmt w:val="decimal"/>
      <w:lvlText w:val="%1."/>
      <w:lvlJc w:val="left"/>
      <w:pPr>
        <w:ind w:left="360" w:hanging="360"/>
      </w:pPr>
    </w:lvl>
    <w:lvl w:ilvl="1">
      <w:start w:val="1"/>
      <w:numFmt w:val="decimal"/>
      <w:lvlText w:val="%1.%2."/>
      <w:lvlJc w:val="left"/>
      <w:pPr>
        <w:ind w:left="720" w:hanging="360"/>
      </w:pPr>
    </w:lvl>
  </w:abstractNum>
  <w:abstractNum w:abstractNumId="14">
    <w:multiLevelType w:val="multilevel"/>
    <w:lvl w:ilvl="0">
      <w:start w:val="1"/>
      <w:numFmt w:val="decimal"/>
      <w:lvlText w:val="%1."/>
      <w:lvlJc w:val="left"/>
      <w:pPr>
        <w:ind w:left="360" w:hanging="360"/>
      </w:pPr>
    </w:lvl>
    <w:lvl w:ilvl="1">
      <w:start w:val="1"/>
      <w:numFmt w:val="decimal"/>
      <w:lvlText w:val="%1.%2."/>
      <w:lvlJc w:val="left"/>
      <w:pPr>
        <w:ind w:left="72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updateFields w:val="true"/>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Calibri" w:hAnsi="Calibri"/>
      <w:color w:val="16232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0A4F50"/>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6232B"/>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jpg"/><Relationship Id="rId11" Type="http://schemas.openxmlformats.org/officeDocument/2006/relationships/image" Target="media/image3.png"/><Relationship Id="rId12" Type="http://schemas.openxmlformats.org/officeDocument/2006/relationships/header" Target="header1.xm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