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2F4B5E"/>
          <w:sz w:val="40"/>
        </w:rPr>
        <w:t>Standard Operating Procedure</w:t>
      </w:r>
    </w:p>
    <w:p>
      <w:pPr>
        <w:spacing w:after="200"/>
      </w:pPr>
      <w:r>
        <w:rPr>
          <w:color w:val="5B7C8D"/>
          <w:sz w:val="26"/>
        </w:rPr>
        <w:t>E-commerce Order Fulfilment &amp; Dispatch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c>
          <w:tcPr>
            <w:tcW w:w="2736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Document control</w:t>
            </w:r>
          </w:p>
        </w:tc>
        <w:tc>
          <w:tcPr>
            <w:tcW w:w="6623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SOP-FUL-014 — E-commerce Order Fulfilment &amp; Dispatch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Version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3.2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Effective date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15 July 2026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Owner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Head of Fulfilment Operations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Approver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Director, Supply Chain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Classification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Internal — Controlled</w:t>
            </w:r>
          </w:p>
        </w:tc>
      </w:tr>
      <w:tr>
        <w:tc>
          <w:tcPr>
            <w:tcW w:w="2736" w:type="dxa"/>
          </w:tcPr>
          <w:p>
            <w:r/>
            <w:r>
              <w:rPr>
                <w:sz w:val="18"/>
              </w:rPr>
              <w:t>Review cycle</w:t>
            </w:r>
          </w:p>
        </w:tc>
        <w:tc>
          <w:tcPr>
            <w:tcW w:w="6623" w:type="dxa"/>
          </w:tcPr>
          <w:p>
            <w:r/>
            <w:r>
              <w:rPr>
                <w:sz w:val="18"/>
              </w:rPr>
              <w:t>Annual — next review July 2027</w:t>
            </w:r>
          </w:p>
        </w:tc>
      </w:tr>
    </w:tbl>
    <w:p>
      <w:pPr>
        <w:spacing w:after="40"/>
      </w:pPr>
    </w:p>
    <w:p>
      <w:pPr>
        <w:pStyle w:val="Heading1"/>
        <w:spacing w:before="200" w:after="80"/>
      </w:pPr>
      <w:r>
        <w:t>1  Purpose</w:t>
      </w:r>
    </w:p>
    <w:p>
      <w:pPr>
        <w:spacing w:after="120"/>
      </w:pPr>
      <w:r>
        <w:rPr>
          <w:b w:val="0"/>
          <w:i w:val="0"/>
          <w:color w:val="24333D"/>
          <w:sz w:val="20"/>
        </w:rPr>
        <w:t>This procedure defines the controlled, repeatable method by which Nordlis Commerce B.V. receives, picks, packs and dispatches direct-to-consumer e-commerce orders from Distribution Centre North (DC-NL-01). It exists to protect order accuracy, carrier service-level compliance and traceability of every consignment from order release to carrier handover.</w:t>
      </w:r>
    </w:p>
    <w:p>
      <w:pPr>
        <w:pStyle w:val="Heading1"/>
        <w:spacing w:before="200" w:after="80"/>
      </w:pPr>
      <w:r>
        <w:t>2  Scope</w:t>
      </w:r>
    </w:p>
    <w:p>
      <w:pPr>
        <w:spacing w:after="120"/>
      </w:pPr>
      <w:r>
        <w:rPr>
          <w:b w:val="0"/>
          <w:i w:val="0"/>
          <w:color w:val="24333D"/>
          <w:sz w:val="20"/>
        </w:rPr>
        <w:t>Applies to all apparel and accessory orders (SKU family NRD-*) fulfilled from DC-NL-01 through the warehouse management system (WMS). It covers single- and multi-line orders, standard and expedited service, and the exception handling triggered by stock, quality or data discrepancies. It excludes wholesale bulk shipments, inbound goods receipt (see SOP-INB-002) and returns processing (see SOP-RET-009), which are governed separately.</w:t>
      </w:r>
    </w:p>
    <w:p>
      <w:pPr>
        <w:pStyle w:val="Heading1"/>
        <w:pageBreakBefore/>
        <w:spacing w:before="200" w:after="80"/>
      </w:pPr>
      <w:r>
        <w:t>3  Definitions &amp; abbreviations</w:t>
      </w:r>
    </w:p>
    <w:p>
      <w:pPr>
        <w:spacing w:after="80"/>
      </w:pPr>
      <w:r>
        <w:rPr>
          <w:b w:val="0"/>
          <w:i w:val="0"/>
          <w:color w:val="24333D"/>
          <w:sz w:val="20"/>
        </w:rPr>
        <w:t>The following terms are used throughout this procedure.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c>
          <w:tcPr>
            <w:tcW w:w="2015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7343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Definition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WMS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Warehouse Management System — the system of record for stock location, pick tasks and dispatch.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OMS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Order Management System — receives web orders and releases them to the WMS.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SKU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Stock-Keeping Unit; Nordlis format NRD-&lt;season&gt;-&lt;style&gt;, e.g. NRD-AW26-04731.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ASN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Advance Shipping Notice — carrier pickup manifest transmitted before handover.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Pick face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Fixed forward location from which an operative picks a SKU to a tote.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Wave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A grouped batch of orders released together for efficient picking.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SLA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Service-Level Agreement — the same-day dispatch cut-off (16:00 CET).</w:t>
            </w:r>
          </w:p>
        </w:tc>
      </w:tr>
      <w:tr>
        <w:tc>
          <w:tcPr>
            <w:tcW w:w="2015" w:type="dxa"/>
          </w:tcPr>
          <w:p>
            <w:r/>
            <w:r>
              <w:rPr>
                <w:sz w:val="18"/>
              </w:rPr>
              <w:t>RTS</w:t>
            </w:r>
          </w:p>
        </w:tc>
        <w:tc>
          <w:tcPr>
            <w:tcW w:w="7343" w:type="dxa"/>
          </w:tcPr>
          <w:p>
            <w:r/>
            <w:r>
              <w:rPr>
                <w:sz w:val="18"/>
              </w:rPr>
              <w:t>Return-to-Stock — controlled put-away of a picked item after a cancellation.</w:t>
            </w:r>
          </w:p>
        </w:tc>
      </w:tr>
    </w:tbl>
    <w:p>
      <w:pPr>
        <w:pStyle w:val="Heading1"/>
        <w:spacing w:before="200" w:after="80"/>
      </w:pPr>
      <w:r>
        <w:t>4  Roles &amp; responsibilities</w:t>
      </w:r>
    </w:p>
    <w:p>
      <w:pPr>
        <w:spacing w:after="80"/>
      </w:pPr>
      <w:r>
        <w:rPr>
          <w:b w:val="0"/>
          <w:i w:val="0"/>
          <w:color w:val="24333D"/>
          <w:sz w:val="20"/>
        </w:rPr>
        <w:t>Responsibilities are assigned per the RACI matrix below (R = Responsible, A = Accountable, C = Consulted, I = Informed).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w="3096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Activity</w:t>
            </w:r>
          </w:p>
        </w:tc>
        <w:tc>
          <w:tcPr>
            <w:tcW w:w="1252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Ful. Op.</w:t>
            </w:r>
          </w:p>
        </w:tc>
        <w:tc>
          <w:tcPr>
            <w:tcW w:w="1252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Team Lead</w:t>
            </w:r>
          </w:p>
        </w:tc>
        <w:tc>
          <w:tcPr>
            <w:tcW w:w="1252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QC Insp.</w:t>
            </w:r>
          </w:p>
        </w:tc>
        <w:tc>
          <w:tcPr>
            <w:tcW w:w="1252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Dispatch</w:t>
            </w:r>
          </w:p>
        </w:tc>
        <w:tc>
          <w:tcPr>
            <w:tcW w:w="1252" w:type="dxa"/>
            <w:shd w:val="clear" w:color="auto" w:fill="2F4B5E"/>
          </w:tcPr>
          <w:p>
            <w:r/>
            <w:r>
              <w:rPr>
                <w:b/>
                <w:color w:val="FFFFFF"/>
                <w:sz w:val="17"/>
              </w:rPr>
              <w:t>Ops Mgr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Order release &amp; wave planning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Pick to tote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Pack &amp; SKU verification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Quality / discrepancy check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Weigh, label &amp; manifest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Dispatch handover to carrier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I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</w:tr>
      <w:tr>
        <w:tc>
          <w:tcPr>
            <w:tcW w:w="3096" w:type="dxa"/>
          </w:tcPr>
          <w:p>
            <w:r/>
            <w:r>
              <w:rPr>
                <w:sz w:val="17"/>
              </w:rPr>
              <w:t>Exception &amp; escalation handling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R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w="1252" w:type="dxa"/>
          </w:tcPr>
          <w:p>
            <w:r/>
            <w:r>
              <w:rPr>
                <w:sz w:val="17"/>
              </w:rPr>
              <w:t>A</w:t>
            </w:r>
          </w:p>
        </w:tc>
      </w:tr>
    </w:tbl>
    <w:p>
      <w:pPr>
        <w:pStyle w:val="Heading1"/>
        <w:pageBreakBefore/>
        <w:spacing w:before="200" w:after="80"/>
      </w:pPr>
      <w:r>
        <w:t>5  Procedure</w:t>
      </w:r>
    </w:p>
    <w:p>
      <w:pPr>
        <w:spacing w:after="80"/>
      </w:pPr>
      <w:r>
        <w:rPr>
          <w:b w:val="0"/>
          <w:i w:val="0"/>
          <w:color w:val="24333D"/>
          <w:sz w:val="20"/>
        </w:rPr>
        <w:t>Each step is performed in sequence. Numbering is controlled; do not skip steps. Where a decision point applies, follow the stated IF/THEN branch.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Receive &amp; validate order</w:t>
      </w:r>
    </w:p>
    <w:p>
      <w:pPr>
        <w:spacing w:after="60"/>
        <w:numPr>
          <w:ilvl w:val="2"/>
          <w:numId w:val="10"/>
        </w:numPr>
      </w:pPr>
      <w:r>
        <w:t>Confirm the order has flowed from the OMS to the WMS and carries a valid shipping address and service level.</w:t>
      </w:r>
    </w:p>
    <w:p>
      <w:pPr>
        <w:spacing w:after="60"/>
        <w:numPr>
          <w:ilvl w:val="2"/>
          <w:numId w:val="10"/>
        </w:numPr>
      </w:pPr>
      <w:r>
        <w:t>Verify payment status is CLEARED. IF payment is flagged HOLD, THEN do not release the order and escalate per §7.1.</w:t>
      </w:r>
    </w:p>
    <w:p>
      <w:pPr>
        <w:spacing w:after="60"/>
        <w:numPr>
          <w:ilvl w:val="2"/>
          <w:numId w:val="10"/>
        </w:numPr>
      </w:pPr>
      <w:r>
        <w:t>Confirm every line SKU (NRD-*) has available-to-promise stock in the WMS.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Wave planning &amp; pick-list release</w:t>
      </w:r>
    </w:p>
    <w:p>
      <w:pPr>
        <w:spacing w:after="60"/>
        <w:numPr>
          <w:ilvl w:val="2"/>
          <w:numId w:val="10"/>
        </w:numPr>
      </w:pPr>
      <w:r>
        <w:t>Group validated orders into a pick wave by carrier cut-off and zone.</w:t>
      </w:r>
    </w:p>
    <w:p>
      <w:pPr>
        <w:spacing w:after="60"/>
        <w:numPr>
          <w:ilvl w:val="2"/>
          <w:numId w:val="10"/>
        </w:numPr>
      </w:pPr>
      <w:r>
        <w:t>Release the wave; the WMS generates sequenced pick tasks to tote.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Pick to tote</w:t>
      </w:r>
    </w:p>
    <w:p>
      <w:pPr>
        <w:spacing w:after="60"/>
        <w:numPr>
          <w:ilvl w:val="2"/>
          <w:numId w:val="10"/>
        </w:numPr>
      </w:pPr>
      <w:r>
        <w:t>Travel to each pick face in the WMS-directed sequence.</w:t>
      </w:r>
    </w:p>
    <w:p>
      <w:pPr>
        <w:spacing w:after="60"/>
        <w:numPr>
          <w:ilvl w:val="2"/>
          <w:numId w:val="10"/>
        </w:numPr>
      </w:pPr>
      <w:r>
        <w:t>Scan the location barcode, then scan the SKU; the WMS confirms the match.</w:t>
      </w:r>
    </w:p>
    <w:p>
      <w:pPr>
        <w:spacing w:after="60"/>
        <w:numPr>
          <w:ilvl w:val="2"/>
          <w:numId w:val="10"/>
        </w:numPr>
      </w:pPr>
      <w:r>
        <w:t>Place the item in the assigned tote and confirm the quantity.</w:t>
      </w:r>
    </w:p>
    <w:p>
      <w:pPr>
        <w:spacing w:after="60"/>
        <w:numPr>
          <w:ilvl w:val="2"/>
          <w:numId w:val="10"/>
        </w:numPr>
      </w:pPr>
      <w:r>
        <w:t>IF the scanned SKU or on-hand quantity does not match the pick task, THEN stop, do not substitute, and raise a stock-mismatch exception per §7.2.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Pack, verify &amp; weigh</w:t>
      </w:r>
    </w:p>
    <w:p>
      <w:pPr>
        <w:spacing w:after="60"/>
        <w:numPr>
          <w:ilvl w:val="2"/>
          <w:numId w:val="10"/>
        </w:numPr>
      </w:pPr>
      <w:r>
        <w:t>Re-scan every item against the packing list to confirm SKU and quantity.</w:t>
      </w:r>
    </w:p>
    <w:p>
      <w:pPr>
        <w:spacing w:after="60"/>
        <w:numPr>
          <w:ilvl w:val="2"/>
          <w:numId w:val="10"/>
        </w:numPr>
      </w:pPr>
      <w:r>
        <w:t>Select carton size by cube; add void fill to the fill line.</w:t>
      </w:r>
    </w:p>
    <w:p>
      <w:pPr>
        <w:spacing w:after="60"/>
        <w:numPr>
          <w:ilvl w:val="2"/>
          <w:numId w:val="10"/>
        </w:numPr>
      </w:pPr>
      <w:r>
        <w:t>Weigh the sealed carton and record the actual weight in the WMS.</w:t>
      </w:r>
    </w:p>
    <w:p>
      <w:pPr>
        <w:spacing w:after="60"/>
        <w:numPr>
          <w:ilvl w:val="2"/>
          <w:numId w:val="10"/>
        </w:numPr>
      </w:pPr>
      <w:r>
        <w:t>IF the actual weight deviates more than 10% from the expected weight, THEN re-verify contents before proceeding.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Print label &amp; carrier manifest</w:t>
      </w:r>
    </w:p>
    <w:p>
      <w:pPr>
        <w:spacing w:after="60"/>
        <w:numPr>
          <w:ilvl w:val="2"/>
          <w:numId w:val="10"/>
        </w:numPr>
      </w:pPr>
      <w:r>
        <w:t>Print the carrier shipping label and affix it to the largest flat face.</w:t>
      </w:r>
    </w:p>
    <w:p>
      <w:pPr>
        <w:spacing w:after="60"/>
        <w:numPr>
          <w:ilvl w:val="2"/>
          <w:numId w:val="10"/>
        </w:numPr>
      </w:pPr>
      <w:r>
        <w:t>Confirm the consignment is added to the carrier ASN / manifest.</w:t>
      </w:r>
    </w:p>
    <w:p>
      <w:pPr>
        <w:spacing w:before="80" w:after="60"/>
        <w:numPr>
          <w:ilvl w:val="1"/>
          <w:numId w:val="10"/>
        </w:numPr>
      </w:pPr>
      <w:r>
        <w:rPr>
          <w:b/>
          <w:color w:val="3E6378"/>
        </w:rPr>
        <w:t>Dispatch handover</w:t>
      </w:r>
    </w:p>
    <w:p>
      <w:pPr>
        <w:spacing w:after="60"/>
        <w:numPr>
          <w:ilvl w:val="2"/>
          <w:numId w:val="10"/>
        </w:numPr>
      </w:pPr>
      <w:r>
        <w:t>Stage the sealed, labelled carton in the carrier lane by cut-off.</w:t>
      </w:r>
    </w:p>
    <w:p>
      <w:pPr>
        <w:spacing w:after="60"/>
        <w:numPr>
          <w:ilvl w:val="2"/>
          <w:numId w:val="10"/>
        </w:numPr>
      </w:pPr>
      <w:r>
        <w:t>Hand over against the ASN and capture the carrier scan as proof of dispatch.</w:t>
      </w:r>
    </w:p>
    <w:p>
      <w:pPr>
        <w:spacing w:after="60"/>
        <w:numPr>
          <w:ilvl w:val="2"/>
          <w:numId w:val="10"/>
        </w:numPr>
      </w:pPr>
      <w:r>
        <w:t>Confirm the WMS status advances to SHIPPED; the OMS notifies the customer.</w:t>
      </w:r>
    </w:p>
    <w:p>
      <w:pPr>
        <w:spacing w:after="40"/>
      </w:pPr>
      <w:r>
        <w:rPr>
          <w:b w:val="0"/>
          <w:i/>
          <w:color w:val="5B7C8D"/>
          <w:sz w:val="18"/>
        </w:rPr>
        <w:t>The WMS pick-confirmation screen guides each pick and scan step above.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6746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shion-atelie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674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i/>
        </w:rP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1</w:t>
      </w:r>
      <w:r>
        <w:fldChar w:fldCharType="end"/>
      </w:r>
      <w:r>
        <w:rPr>
          <w:i/>
        </w:rPr>
        <w:t>. Sample — illustrative WMS pick-station reference image (placeholder for the live pick screen).</w:t>
      </w:r>
    </w:p>
    <w:p>
      <w:pPr>
        <w:pStyle w:val="Heading1"/>
        <w:pageBreakBefore/>
        <w:spacing w:before="200" w:after="80"/>
      </w:pPr>
      <w:r>
        <w:t>6  Process flow</w:t>
      </w:r>
    </w:p>
    <w:p>
      <w:pPr>
        <w:spacing w:after="120"/>
      </w:pPr>
      <w:r>
        <w:rPr>
          <w:b w:val="0"/>
          <w:i w:val="0"/>
          <w:color w:val="24333D"/>
          <w:sz w:val="20"/>
        </w:rPr>
        <w:t>The flowchart below mirrors the numbered steps in §5, including the stock-match decision and the exception loop back to order validation.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57511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p_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5751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i/>
        </w:rP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1</w:t>
      </w:r>
      <w:r>
        <w:fldChar w:fldCharType="end"/>
      </w:r>
      <w:r>
        <w:rPr>
          <w:i/>
        </w:rPr>
        <w:t>. Order fulfilment &amp; dispatch process flow (§5 steps with stock-match decision and §7 exception path).</w:t>
      </w:r>
    </w:p>
    <w:p>
      <w:pPr>
        <w:pStyle w:val="Heading1"/>
        <w:pageBreakBefore/>
        <w:spacing w:before="200" w:after="80"/>
      </w:pPr>
      <w:r>
        <w:t>7  Exceptions &amp; escalation</w:t>
      </w:r>
    </w:p>
    <w:p>
      <w:pPr>
        <w:spacing w:after="80"/>
      </w:pPr>
      <w:r>
        <w:rPr>
          <w:b w:val="0"/>
          <w:i w:val="0"/>
          <w:color w:val="24333D"/>
          <w:sz w:val="20"/>
        </w:rPr>
        <w:t>Exceptions halt the standard flow and are logged in the WMS exception queue. Resolve per the routes below.</w:t>
      </w:r>
    </w:p>
    <w:p>
      <w:pPr>
        <w:spacing w:after="60"/>
        <w:numPr>
          <w:ilvl w:val="1"/>
          <w:numId w:val="11"/>
        </w:numPr>
      </w:pPr>
      <w:r>
        <w:t>Payment hold. Retain the order; notify Ops Manager; release only after Finance clears the flag. Target resolution: 4 working hours.</w:t>
      </w:r>
    </w:p>
    <w:p>
      <w:pPr>
        <w:spacing w:after="60"/>
        <w:numPr>
          <w:ilvl w:val="1"/>
          <w:numId w:val="11"/>
        </w:numPr>
      </w:pPr>
      <w:r>
        <w:t>Stock mismatch. Quarantine the tote; QC Inspector reconciles physical vs system stock; adjust WMS on-hand and re-plan the line. Escalate to Ops Manager if unresolved within 2 hours.</w:t>
      </w:r>
    </w:p>
    <w:p>
      <w:pPr>
        <w:spacing w:after="60"/>
        <w:numPr>
          <w:ilvl w:val="1"/>
          <w:numId w:val="11"/>
        </w:numPr>
      </w:pPr>
      <w:r>
        <w:t>Damaged item at pack. Route the item to RTS or scrap per QC disposition; re-pick a replacement from available stock.</w:t>
      </w:r>
    </w:p>
    <w:p>
      <w:pPr>
        <w:spacing w:after="60"/>
        <w:numPr>
          <w:ilvl w:val="1"/>
          <w:numId w:val="11"/>
        </w:numPr>
      </w:pPr>
      <w:r>
        <w:t>Missed carrier cut-off. Re-book to the next available service and inform the customer of the revised dispatch date.</w:t>
      </w:r>
    </w:p>
    <w:p>
      <w:pPr>
        <w:pStyle w:val="Heading1"/>
        <w:spacing w:before="200" w:after="80"/>
      </w:pPr>
      <w:r>
        <w:t>8  Related documents</w:t>
      </w:r>
    </w:p>
    <w:p>
      <w:pPr>
        <w:spacing w:after="40"/>
        <w:numPr>
          <w:ilvl w:val="0"/>
          <w:numId w:val="12"/>
        </w:numPr>
      </w:pPr>
      <w:r>
        <w:t>SOP-INB-002 — Inbound Goods Receipt &amp; Put-away</w:t>
      </w:r>
    </w:p>
    <w:p>
      <w:pPr>
        <w:spacing w:after="40"/>
        <w:numPr>
          <w:ilvl w:val="0"/>
          <w:numId w:val="12"/>
        </w:numPr>
      </w:pPr>
      <w:r>
        <w:t>SOP-RET-009 — Returns Processing &amp; Return-to-Stock</w:t>
      </w:r>
    </w:p>
    <w:p>
      <w:pPr>
        <w:spacing w:after="40"/>
        <w:numPr>
          <w:ilvl w:val="0"/>
          <w:numId w:val="12"/>
        </w:numPr>
      </w:pPr>
      <w:r>
        <w:t>WI-PACK-004 — Packing &amp; Void-Fill Work Instruction</w:t>
      </w:r>
    </w:p>
    <w:p>
      <w:pPr>
        <w:spacing w:after="40"/>
        <w:numPr>
          <w:ilvl w:val="0"/>
          <w:numId w:val="12"/>
        </w:numPr>
      </w:pPr>
      <w:r>
        <w:t>POL-QA-001 — Quality Assurance Policy</w:t>
      </w:r>
    </w:p>
    <w:p>
      <w:pPr>
        <w:pStyle w:val="Heading1"/>
        <w:spacing w:before="200" w:after="80"/>
      </w:pPr>
      <w:r>
        <w:t>9  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340"/>
        <w:gridCol w:w="2340"/>
        <w:gridCol w:w="2340"/>
        <w:gridCol w:w="2340"/>
      </w:tblGrid>
      <w:tr>
        <w:tc>
          <w:tcPr>
            <w:tcW w:w="1296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w="1872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w="2304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Author</w:t>
            </w:r>
          </w:p>
        </w:tc>
        <w:tc>
          <w:tcPr>
            <w:tcW w:w="3888" w:type="dxa"/>
            <w:shd w:val="clear" w:color="auto" w:fill="2F4B5E"/>
          </w:tcPr>
          <w:p>
            <w:r/>
            <w:r>
              <w:rPr>
                <w:b/>
                <w:color w:val="FFFFFF"/>
                <w:sz w:val="18"/>
              </w:rPr>
              <w:t>Change summary</w:t>
            </w:r>
          </w:p>
        </w:tc>
      </w:tr>
      <w:tr>
        <w:tc>
          <w:tcPr>
            <w:tcW w:w="1296" w:type="dxa"/>
          </w:tcPr>
          <w:p>
            <w:r/>
            <w:r>
              <w:rPr>
                <w:sz w:val="18"/>
              </w:rPr>
              <w:t>1.0</w:t>
            </w:r>
          </w:p>
        </w:tc>
        <w:tc>
          <w:tcPr>
            <w:tcW w:w="1872" w:type="dxa"/>
          </w:tcPr>
          <w:p>
            <w:r/>
            <w:r>
              <w:rPr>
                <w:sz w:val="18"/>
              </w:rPr>
              <w:t>12 Mar 2024</w:t>
            </w:r>
          </w:p>
        </w:tc>
        <w:tc>
          <w:tcPr>
            <w:tcW w:w="2304" w:type="dxa"/>
          </w:tcPr>
          <w:p>
            <w:r/>
            <w:r>
              <w:rPr>
                <w:sz w:val="18"/>
              </w:rPr>
              <w:t>J. Bakker</w:t>
            </w:r>
          </w:p>
        </w:tc>
        <w:tc>
          <w:tcPr>
            <w:tcW w:w="3888" w:type="dxa"/>
          </w:tcPr>
          <w:p>
            <w:r/>
            <w:r>
              <w:rPr>
                <w:sz w:val="18"/>
              </w:rPr>
              <w:t>Initial issue.</w:t>
            </w:r>
          </w:p>
        </w:tc>
      </w:tr>
      <w:tr>
        <w:tc>
          <w:tcPr>
            <w:tcW w:w="1296" w:type="dxa"/>
          </w:tcPr>
          <w:p>
            <w:r/>
            <w:r>
              <w:rPr>
                <w:sz w:val="18"/>
              </w:rPr>
              <w:t>2.0</w:t>
            </w:r>
          </w:p>
        </w:tc>
        <w:tc>
          <w:tcPr>
            <w:tcW w:w="1872" w:type="dxa"/>
          </w:tcPr>
          <w:p>
            <w:r/>
            <w:r>
              <w:rPr>
                <w:sz w:val="18"/>
              </w:rPr>
              <w:t>08 Jan 2025</w:t>
            </w:r>
          </w:p>
        </w:tc>
        <w:tc>
          <w:tcPr>
            <w:tcW w:w="2304" w:type="dxa"/>
          </w:tcPr>
          <w:p>
            <w:r/>
            <w:r>
              <w:rPr>
                <w:sz w:val="18"/>
              </w:rPr>
              <w:t>J. Bakker</w:t>
            </w:r>
          </w:p>
        </w:tc>
        <w:tc>
          <w:tcPr>
            <w:tcW w:w="3888" w:type="dxa"/>
          </w:tcPr>
          <w:p>
            <w:r/>
            <w:r>
              <w:rPr>
                <w:sz w:val="18"/>
              </w:rPr>
              <w:t>Added wave planning; RACI matrix.</w:t>
            </w:r>
          </w:p>
        </w:tc>
      </w:tr>
      <w:tr>
        <w:tc>
          <w:tcPr>
            <w:tcW w:w="1296" w:type="dxa"/>
          </w:tcPr>
          <w:p>
            <w:r/>
            <w:r>
              <w:rPr>
                <w:sz w:val="18"/>
              </w:rPr>
              <w:t>3.0</w:t>
            </w:r>
          </w:p>
        </w:tc>
        <w:tc>
          <w:tcPr>
            <w:tcW w:w="1872" w:type="dxa"/>
          </w:tcPr>
          <w:p>
            <w:r/>
            <w:r>
              <w:rPr>
                <w:sz w:val="18"/>
              </w:rPr>
              <w:t>19 Nov 2025</w:t>
            </w:r>
          </w:p>
        </w:tc>
        <w:tc>
          <w:tcPr>
            <w:tcW w:w="2304" w:type="dxa"/>
          </w:tcPr>
          <w:p>
            <w:r/>
            <w:r>
              <w:rPr>
                <w:sz w:val="18"/>
              </w:rPr>
              <w:t>M. de Vries</w:t>
            </w:r>
          </w:p>
        </w:tc>
        <w:tc>
          <w:tcPr>
            <w:tcW w:w="3888" w:type="dxa"/>
          </w:tcPr>
          <w:p>
            <w:r/>
            <w:r>
              <w:rPr>
                <w:sz w:val="18"/>
              </w:rPr>
              <w:t>Restructured procedure to §5 multi-level.</w:t>
            </w:r>
          </w:p>
        </w:tc>
      </w:tr>
      <w:tr>
        <w:tc>
          <w:tcPr>
            <w:tcW w:w="1296" w:type="dxa"/>
          </w:tcPr>
          <w:p>
            <w:r/>
            <w:r>
              <w:rPr>
                <w:sz w:val="18"/>
              </w:rPr>
              <w:t>3.2</w:t>
            </w:r>
          </w:p>
        </w:tc>
        <w:tc>
          <w:tcPr>
            <w:tcW w:w="1872" w:type="dxa"/>
          </w:tcPr>
          <w:p>
            <w:r/>
            <w:r>
              <w:rPr>
                <w:sz w:val="18"/>
              </w:rPr>
              <w:t>15 Jul 2026</w:t>
            </w:r>
          </w:p>
        </w:tc>
        <w:tc>
          <w:tcPr>
            <w:tcW w:w="2304" w:type="dxa"/>
          </w:tcPr>
          <w:p>
            <w:r/>
            <w:r>
              <w:rPr>
                <w:sz w:val="18"/>
              </w:rPr>
              <w:t>M. de Vries</w:t>
            </w:r>
          </w:p>
        </w:tc>
        <w:tc>
          <w:tcPr>
            <w:tcW w:w="3888" w:type="dxa"/>
          </w:tcPr>
          <w:p>
            <w:r/>
            <w:r>
              <w:rPr>
                <w:sz w:val="18"/>
              </w:rPr>
              <w:t>Updated SLA cut-off; added exception loop.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right" w:pos="9360"/>
      </w:tabs>
    </w:pPr>
    <w:r/>
    <w:r>
      <w:t>Internal — Controlled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right" w:pos="9360"/>
      </w:tabs>
    </w:pPr>
    <w:r/>
    <w:r>
      <w:t>NORDLIS  ·  DC-NL-01</w:t>
    </w:r>
    <w:r>
      <w:tab/>
    </w:r>
    <w:r>
      <w:t>SOP-FUL-014  · 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multilevel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</w:abstractNum>
  <w:abstractNum w:abstractNumId="10">
    <w:multiLevelType w:val="multilevel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</w:abstractNum>
  <w:abstractNum w:abstractNumId="11">
    <w:multiLevelType w:val="multilevel"/>
    <w:lvl w:ilvl="0">
      <w:start w:val="1"/>
      <w:numFmt w:val="bullet"/>
      <w:lvlText w:val="–"/>
      <w:lvlJc w:val="left"/>
      <w:pPr>
        <w:ind w:left="36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updateFields w:val="true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F4B5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E63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E63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