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left"/>
        <w:tblLayout w:type="fixed"/>
        <w:tblLook w:firstColumn="1" w:firstRow="1" w:lastColumn="0" w:lastRow="0" w:noHBand="0" w:noVBand="1" w:val="04A0"/>
        <w:tblLayout w:type="fixed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00"/>
        <w:gridCol w:w="7866"/>
      </w:tblGrid>
      <w:tr>
        <w:tc>
          <w:tcPr>
            <w:tcW w:type="dxa" w:w="2000"/>
            <w:vAlign w:val="center"/>
          </w:tcPr>
          <w:p>
            <w:pPr>
              <w:jc w:val="left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72000" cy="972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ample-log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000" cy="97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866"/>
            <w:vAlign w:val="center"/>
          </w:tcPr>
          <w:p>
            <w:pPr>
              <w:spacing w:after="0"/>
            </w:pPr>
            <w:r/>
            <w:r>
              <w:rPr>
                <w:rFonts w:ascii="Segoe UI" w:hAnsi="Segoe UI"/>
                <w:b/>
                <w:color w:val="1B2A4A"/>
                <w:sz w:val="38"/>
              </w:rPr>
              <w:t>SUPPLIER ONBOARDING CHECKLIST</w:t>
            </w:r>
          </w:p>
          <w:p>
            <w:pPr>
              <w:spacing w:before="40" w:after="0"/>
            </w:pPr>
            <w:r>
              <w:rPr>
                <w:rFonts w:ascii="Calibri" w:hAnsi="Calibri"/>
                <w:color w:val="6B7280"/>
                <w:sz w:val="20"/>
              </w:rPr>
              <w:t>Sourcing &amp; Compliance — New Factory Assessment</w:t>
            </w:r>
          </w:p>
          <w:p>
            <w:pPr>
              <w:spacing w:before="120" w:after="0"/>
            </w:pPr>
            <w:r>
              <w:rPr>
                <w:rFonts w:ascii="Calibri" w:hAnsi="Calibri"/>
                <w:color w:val="222733"/>
                <w:sz w:val="17"/>
              </w:rPr>
              <w:t>Fenwick Knitwear Ltd, 18 Chiltern Street, London W1U 7QA</w:t>
            </w:r>
          </w:p>
        </w:tc>
      </w:tr>
    </w:tbl>
    <w:p>
      <w:pPr>
        <w:spacing w:before="120" w:after="40" w:line="254" w:lineRule="auto"/>
        <w:jc w:val="left"/>
        <w:pBdr>
          <w:bottom w:val="single" w:sz="8" w:space="2" w:color="1B2A4A"/>
        </w:pBdr>
      </w:pPr>
    </w:p>
    <w:p>
      <w:pPr>
        <w:spacing w:before="60" w:after="160" w:line="254" w:lineRule="auto"/>
        <w:jc w:val="left"/>
      </w:pPr>
      <w:r>
        <w:rPr>
          <w:rFonts w:ascii="Consolas" w:hAnsi="Consolas"/>
          <w:color w:val="6B7280"/>
          <w:sz w:val="17"/>
        </w:rPr>
        <w:t xml:space="preserve">Onboarding ref: </w:t>
      </w:r>
      <w:r>
        <w:rPr>
          <w:rFonts w:ascii="Consolas" w:hAnsi="Consolas"/>
          <w:b/>
          <w:color w:val="1B2A4A"/>
          <w:sz w:val="17"/>
        </w:rPr>
        <w:t>FW-ONB-2026-0417</w:t>
      </w:r>
      <w:r>
        <w:rPr>
          <w:rFonts w:ascii="Consolas" w:hAnsi="Consolas"/>
          <w:color w:val="6B7280"/>
          <w:sz w:val="17"/>
        </w:rPr>
        <w:t xml:space="preserve">     Assessment date: </w:t>
      </w:r>
      <w:r>
        <w:rPr>
          <w:rFonts w:ascii="Consolas" w:hAnsi="Consolas"/>
          <w:b/>
          <w:color w:val="1B2A4A"/>
          <w:sz w:val="17"/>
        </w:rPr>
        <w:t>15 July 2026</w:t>
      </w:r>
      <w:r>
        <w:rPr>
          <w:rFonts w:ascii="Consolas" w:hAnsi="Consolas"/>
          <w:color w:val="6B7280"/>
          <w:sz w:val="17"/>
        </w:rPr>
        <w:t xml:space="preserve">     Status: </w:t>
      </w:r>
      <w:r>
        <w:rPr>
          <w:rFonts w:ascii="Consolas" w:hAnsi="Consolas"/>
          <w:b/>
          <w:color w:val="8A6300"/>
          <w:sz w:val="17"/>
        </w:rPr>
        <w:t>Under review</w:t>
      </w:r>
    </w:p>
    <w:p>
      <w:pPr>
        <w:pStyle w:val="Heading1"/>
      </w:pPr>
      <w:r>
        <w:t>Supplier Profile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C9C2B6"/>
          <w:left w:val="single" w:sz="4" w:space="0" w:color="C9C2B6"/>
          <w:bottom w:val="single" w:sz="4" w:space="0" w:color="C9C2B6"/>
          <w:right w:val="single" w:sz="4" w:space="0" w:color="C9C2B6"/>
          <w:insideH w:val="single" w:sz="4" w:space="0" w:color="C9C2B6"/>
          <w:insideV w:val="single" w:sz="4" w:space="0" w:color="C9C2B6"/>
        </w:tblBorders>
      </w:tblPr>
      <w:tblGrid>
        <w:gridCol w:w="3200"/>
        <w:gridCol w:w="6666"/>
      </w:tblGrid>
      <w:tr>
        <w:tc>
          <w:tcPr>
            <w:tcW w:type="dxa" w:w="320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1B2A4A"/>
                <w:sz w:val="18"/>
              </w:rPr>
              <w:t>Legal entity name</w:t>
            </w:r>
          </w:p>
        </w:tc>
        <w:tc>
          <w:tcPr>
            <w:tcW w:type="dxa" w:w="666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9"/>
              </w:rPr>
              <w:t>Malhas do Ave, Lda.</w:t>
            </w:r>
          </w:p>
        </w:tc>
      </w:tr>
      <w:tr>
        <w:tc>
          <w:tcPr>
            <w:tcW w:type="dxa" w:w="320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1B2A4A"/>
                <w:sz w:val="18"/>
              </w:rPr>
              <w:t>Trading name</w:t>
            </w:r>
          </w:p>
        </w:tc>
        <w:tc>
          <w:tcPr>
            <w:tcW w:type="dxa" w:w="666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9"/>
              </w:rPr>
              <w:t>Malhas do Ave</w:t>
            </w:r>
          </w:p>
        </w:tc>
      </w:tr>
      <w:tr>
        <w:tc>
          <w:tcPr>
            <w:tcW w:type="dxa" w:w="320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1B2A4A"/>
                <w:sz w:val="18"/>
              </w:rPr>
              <w:t>Registered address</w:t>
            </w:r>
          </w:p>
        </w:tc>
        <w:tc>
          <w:tcPr>
            <w:tcW w:type="dxa" w:w="666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9"/>
              </w:rPr>
              <w:t>Rua da Indústria 148, 4805-316 Guimarães, Portugal</w:t>
            </w:r>
          </w:p>
        </w:tc>
      </w:tr>
      <w:tr>
        <w:tc>
          <w:tcPr>
            <w:tcW w:type="dxa" w:w="320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1B2A4A"/>
                <w:sz w:val="18"/>
              </w:rPr>
              <w:t>Country of origin</w:t>
            </w:r>
          </w:p>
        </w:tc>
        <w:tc>
          <w:tcPr>
            <w:tcW w:type="dxa" w:w="666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9"/>
              </w:rPr>
              <w:t>Portugal</w:t>
            </w:r>
          </w:p>
        </w:tc>
      </w:tr>
      <w:tr>
        <w:tc>
          <w:tcPr>
            <w:tcW w:type="dxa" w:w="320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1B2A4A"/>
                <w:sz w:val="18"/>
              </w:rPr>
              <w:t>Factory type</w:t>
            </w:r>
          </w:p>
        </w:tc>
        <w:tc>
          <w:tcPr>
            <w:tcW w:type="dxa" w:w="666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9"/>
              </w:rPr>
              <w:t>Knitwear — CMT (cut, make, trim) &amp; full-package</w:t>
            </w:r>
          </w:p>
        </w:tc>
      </w:tr>
      <w:tr>
        <w:tc>
          <w:tcPr>
            <w:tcW w:type="dxa" w:w="320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1B2A4A"/>
                <w:sz w:val="18"/>
              </w:rPr>
              <w:t>Key contact / role</w:t>
            </w:r>
          </w:p>
        </w:tc>
        <w:tc>
          <w:tcPr>
            <w:tcW w:type="dxa" w:w="666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9"/>
              </w:rPr>
              <w:t>Ana Sofia Ribeiro — Commercial Director</w:t>
            </w:r>
          </w:p>
        </w:tc>
      </w:tr>
      <w:tr>
        <w:tc>
          <w:tcPr>
            <w:tcW w:type="dxa" w:w="320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1B2A4A"/>
                <w:sz w:val="18"/>
              </w:rPr>
              <w:t>Email / phone</w:t>
            </w:r>
          </w:p>
        </w:tc>
        <w:tc>
          <w:tcPr>
            <w:tcW w:type="dxa" w:w="666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onsolas" w:hAnsi="Consolas"/>
                <w:b w:val="0"/>
                <w:i w:val="0"/>
                <w:color w:val="222733"/>
                <w:sz w:val="18"/>
              </w:rPr>
              <w:t>a.ribeiro@malhasdoave.pt  ·  +351 253 512 480</w:t>
            </w:r>
          </w:p>
        </w:tc>
      </w:tr>
      <w:tr>
        <w:tc>
          <w:tcPr>
            <w:tcW w:type="dxa" w:w="320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1B2A4A"/>
                <w:sz w:val="18"/>
              </w:rPr>
              <w:t>Year established</w:t>
            </w:r>
          </w:p>
        </w:tc>
        <w:tc>
          <w:tcPr>
            <w:tcW w:type="dxa" w:w="666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onsolas" w:hAnsi="Consolas"/>
                <w:b w:val="0"/>
                <w:i w:val="0"/>
                <w:color w:val="222733"/>
                <w:sz w:val="18"/>
              </w:rPr>
              <w:t>1998</w:t>
            </w:r>
          </w:p>
        </w:tc>
      </w:tr>
      <w:tr>
        <w:tc>
          <w:tcPr>
            <w:tcW w:type="dxa" w:w="320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1B2A4A"/>
                <w:sz w:val="18"/>
              </w:rPr>
              <w:t>Employees</w:t>
            </w:r>
          </w:p>
        </w:tc>
        <w:tc>
          <w:tcPr>
            <w:tcW w:type="dxa" w:w="666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9"/>
              </w:rPr>
              <w:t>214 (198 production, 16 admin/QC)</w:t>
            </w:r>
          </w:p>
        </w:tc>
      </w:tr>
      <w:tr>
        <w:tc>
          <w:tcPr>
            <w:tcW w:type="dxa" w:w="320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1B2A4A"/>
                <w:sz w:val="18"/>
              </w:rPr>
              <w:t>Main product categories</w:t>
            </w:r>
          </w:p>
        </w:tc>
        <w:tc>
          <w:tcPr>
            <w:tcW w:type="dxa" w:w="666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9"/>
              </w:rPr>
              <w:t>Fine-gauge merino knitwear, lambswool crew &amp; rollnecks, cotton jersey</w:t>
            </w:r>
          </w:p>
        </w:tc>
      </w:tr>
      <w:tr>
        <w:tc>
          <w:tcPr>
            <w:tcW w:type="dxa" w:w="320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1B2A4A"/>
                <w:sz w:val="18"/>
              </w:rPr>
              <w:t>Certifications held</w:t>
            </w:r>
          </w:p>
        </w:tc>
        <w:tc>
          <w:tcPr>
            <w:tcW w:type="dxa" w:w="666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9"/>
              </w:rPr>
              <w:t>OEKO-TEX STANDARD 100, GOTS scope cert, ISO 9001:2015</w:t>
            </w:r>
          </w:p>
        </w:tc>
      </w:tr>
      <w:tr>
        <w:tc>
          <w:tcPr>
            <w:tcW w:type="dxa" w:w="320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1B2A4A"/>
                <w:sz w:val="18"/>
              </w:rPr>
              <w:t>Primary export markets</w:t>
            </w:r>
          </w:p>
        </w:tc>
        <w:tc>
          <w:tcPr>
            <w:tcW w:type="dxa" w:w="666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9"/>
              </w:rPr>
              <w:t>United Kingdom, Germany, France, Netherlands</w:t>
            </w:r>
          </w:p>
        </w:tc>
      </w:tr>
      <w:tr>
        <w:tc>
          <w:tcPr>
            <w:tcW w:type="dxa" w:w="320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1B2A4A"/>
                <w:sz w:val="18"/>
              </w:rPr>
              <w:t>VAT / tax ID</w:t>
            </w:r>
          </w:p>
        </w:tc>
        <w:tc>
          <w:tcPr>
            <w:tcW w:type="dxa" w:w="666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onsolas" w:hAnsi="Consolas"/>
                <w:b w:val="0"/>
                <w:i w:val="0"/>
                <w:color w:val="222733"/>
                <w:sz w:val="18"/>
              </w:rPr>
              <w:t>PT 508 942 176</w:t>
            </w:r>
          </w:p>
        </w:tc>
      </w:tr>
      <w:tr>
        <w:tc>
          <w:tcPr>
            <w:tcW w:type="dxa" w:w="320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1B2A4A"/>
                <w:sz w:val="18"/>
              </w:rPr>
              <w:t>Onboarding ref no.</w:t>
            </w:r>
          </w:p>
        </w:tc>
        <w:tc>
          <w:tcPr>
            <w:tcW w:type="dxa" w:w="666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onsolas" w:hAnsi="Consolas"/>
                <w:b w:val="0"/>
                <w:i w:val="0"/>
                <w:color w:val="222733"/>
                <w:sz w:val="18"/>
              </w:rPr>
              <w:t>FW-ONB-2026-0417</w:t>
            </w:r>
          </w:p>
        </w:tc>
      </w:tr>
      <w:tr>
        <w:tc>
          <w:tcPr>
            <w:tcW w:type="dxa" w:w="320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1B2A4A"/>
                <w:sz w:val="18"/>
              </w:rPr>
              <w:t>Assessment date</w:t>
            </w:r>
          </w:p>
        </w:tc>
        <w:tc>
          <w:tcPr>
            <w:tcW w:type="dxa" w:w="666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onsolas" w:hAnsi="Consolas"/>
                <w:b w:val="0"/>
                <w:i w:val="0"/>
                <w:color w:val="222733"/>
                <w:sz w:val="18"/>
              </w:rPr>
              <w:t>15 July 2026</w:t>
            </w:r>
          </w:p>
        </w:tc>
      </w:tr>
    </w:tbl>
    <w:p>
      <w:pPr>
        <w:spacing w:before="100" w:after="0" w:line="254" w:lineRule="auto"/>
        <w:jc w:val="left"/>
      </w:pPr>
      <w:r>
        <w:rPr>
          <w:rFonts w:ascii="Calibri" w:hAnsi="Calibri"/>
          <w:b w:val="0"/>
          <w:i/>
          <w:color w:val="6B7280"/>
          <w:sz w:val="16"/>
        </w:rPr>
        <w:t>Profile as declared by the supplier and verified against source documents during on-site and desktop assessment.</w:t>
      </w:r>
    </w:p>
    <w:p>
      <w:pPr>
        <w:pStyle w:val="Heading2"/>
        <w:pageBreakBefore/>
        <w:numPr>
          <w:ilvl w:val="0"/>
          <w:numId w:val="10"/>
        </w:numPr>
      </w:pPr>
      <w:r>
        <w:t>Legal &amp; Financial</w:t>
      </w:r>
    </w:p>
    <w:p>
      <w:pPr>
        <w:spacing w:before="20" w:after="100" w:line="254" w:lineRule="auto"/>
        <w:jc w:val="left"/>
      </w:pPr>
      <w:r>
        <w:rPr>
          <w:rFonts w:ascii="Calibri" w:hAnsi="Calibri"/>
          <w:b w:val="0"/>
          <w:i/>
          <w:color w:val="6B7280"/>
          <w:sz w:val="18"/>
        </w:rPr>
        <w:t>Corporate standing, insurance cover, solvency and beneficial-ownership transparency.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C9C2B6"/>
          <w:left w:val="single" w:sz="4" w:space="0" w:color="C9C2B6"/>
          <w:bottom w:val="single" w:sz="4" w:space="0" w:color="C9C2B6"/>
          <w:right w:val="single" w:sz="4" w:space="0" w:color="C9C2B6"/>
          <w:insideH w:val="single" w:sz="4" w:space="0" w:color="C9C2B6"/>
          <w:insideV w:val="single" w:sz="4" w:space="0" w:color="C9C2B6"/>
        </w:tblBorders>
      </w:tblPr>
      <w:tblGrid>
        <w:gridCol w:w="560"/>
        <w:gridCol w:w="3050"/>
        <w:gridCol w:w="1150"/>
        <w:gridCol w:w="3020"/>
        <w:gridCol w:w="1140"/>
        <w:gridCol w:w="946"/>
      </w:tblGrid>
      <w:tr>
        <w:tc>
          <w:tcPr>
            <w:tcW w:type="dxa" w:w="56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#</w:t>
            </w:r>
          </w:p>
        </w:tc>
        <w:tc>
          <w:tcPr>
            <w:tcW w:type="dxa" w:w="305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Requirement</w:t>
            </w:r>
          </w:p>
        </w:tc>
        <w:tc>
          <w:tcPr>
            <w:tcW w:type="dxa" w:w="115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Status</w:t>
            </w:r>
          </w:p>
        </w:tc>
        <w:tc>
          <w:tcPr>
            <w:tcW w:type="dxa" w:w="302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114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Verified by</w:t>
            </w:r>
          </w:p>
        </w:tc>
        <w:tc>
          <w:tcPr>
            <w:tcW w:type="dxa" w:w="946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Date</w:t>
            </w:r>
          </w:p>
        </w:tc>
      </w:tr>
      <w:tr>
        <w:tc>
          <w:tcPr>
            <w:tcW w:type="dxa" w:w="56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1</w:t>
            </w:r>
          </w:p>
        </w:tc>
        <w:tc>
          <w:tcPr>
            <w:tcW w:type="dxa" w:w="30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Business registration current (Certidão Permanente)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Access code 5089-4217-6, valid to 2026-12</w:t>
            </w:r>
          </w:p>
        </w:tc>
        <w:tc>
          <w:tcPr>
            <w:tcW w:type="dxa" w:w="114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A. Ribeiro / L. Marsh</w:t>
            </w:r>
          </w:p>
        </w:tc>
        <w:tc>
          <w:tcPr>
            <w:tcW w:type="dxa" w:w="94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2026-07-08</w:t>
            </w:r>
          </w:p>
        </w:tc>
      </w:tr>
      <w:tr>
        <w:tc>
          <w:tcPr>
            <w:tcW w:type="dxa" w:w="56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2</w:t>
            </w:r>
          </w:p>
        </w:tc>
        <w:tc>
          <w:tcPr>
            <w:tcW w:type="dxa" w:w="305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Public liability &amp; product insurance ≥ €2m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shd w:val="clear" w:color="auto" w:fill="EDE9E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Fidelidade policy PL-88213, €5m cover</w:t>
            </w:r>
          </w:p>
        </w:tc>
        <w:tc>
          <w:tcPr>
            <w:tcW w:type="dxa" w:w="114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L. Marsh</w:t>
            </w:r>
          </w:p>
        </w:tc>
        <w:tc>
          <w:tcPr>
            <w:tcW w:type="dxa" w:w="946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2026-07-08</w:t>
            </w:r>
          </w:p>
        </w:tc>
      </w:tr>
      <w:tr>
        <w:tc>
          <w:tcPr>
            <w:tcW w:type="dxa" w:w="56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3</w:t>
            </w:r>
          </w:p>
        </w:tc>
        <w:tc>
          <w:tcPr>
            <w:tcW w:type="dxa" w:w="30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Financial standing (2 yrs audited accounts)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FY24 &amp; FY25 IES accounts filed</w:t>
            </w:r>
          </w:p>
        </w:tc>
        <w:tc>
          <w:tcPr>
            <w:tcW w:type="dxa" w:w="114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F. Coelho</w:t>
            </w:r>
          </w:p>
        </w:tc>
        <w:tc>
          <w:tcPr>
            <w:tcW w:type="dxa" w:w="94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2026-07-09</w:t>
            </w:r>
          </w:p>
        </w:tc>
      </w:tr>
      <w:tr>
        <w:tc>
          <w:tcPr>
            <w:tcW w:type="dxa" w:w="56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4</w:t>
            </w:r>
          </w:p>
        </w:tc>
        <w:tc>
          <w:tcPr>
            <w:tcW w:type="dxa" w:w="305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Bank details verified (IBAN + letter)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shd w:val="clear" w:color="auto" w:fill="EDE9E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Millennium bcp; IBAN confirmation letter</w:t>
            </w:r>
          </w:p>
        </w:tc>
        <w:tc>
          <w:tcPr>
            <w:tcW w:type="dxa" w:w="114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F. Coelho</w:t>
            </w:r>
          </w:p>
        </w:tc>
        <w:tc>
          <w:tcPr>
            <w:tcW w:type="dxa" w:w="946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2026-07-09</w:t>
            </w:r>
          </w:p>
        </w:tc>
      </w:tr>
      <w:tr>
        <w:tc>
          <w:tcPr>
            <w:tcW w:type="dxa" w:w="56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5</w:t>
            </w:r>
          </w:p>
        </w:tc>
        <w:tc>
          <w:tcPr>
            <w:tcW w:type="dxa" w:w="30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Independent credit check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Iberinform score B — low risk</w:t>
            </w:r>
          </w:p>
        </w:tc>
        <w:tc>
          <w:tcPr>
            <w:tcW w:type="dxa" w:w="114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F. Coelho</w:t>
            </w:r>
          </w:p>
        </w:tc>
        <w:tc>
          <w:tcPr>
            <w:tcW w:type="dxa" w:w="94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2026-07-09</w:t>
            </w:r>
          </w:p>
        </w:tc>
      </w:tr>
      <w:tr>
        <w:tc>
          <w:tcPr>
            <w:tcW w:type="dxa" w:w="56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6</w:t>
            </w:r>
          </w:p>
        </w:tc>
        <w:tc>
          <w:tcPr>
            <w:tcW w:type="dxa" w:w="305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Beneficial ownership (UBO) declaration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shd w:val="clear" w:color="auto" w:fill="EDE9E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RCBE registered; 2 UBOs disclosed</w:t>
            </w:r>
          </w:p>
        </w:tc>
        <w:tc>
          <w:tcPr>
            <w:tcW w:type="dxa" w:w="114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L. Marsh</w:t>
            </w:r>
          </w:p>
        </w:tc>
        <w:tc>
          <w:tcPr>
            <w:tcW w:type="dxa" w:w="946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2026-07-08</w:t>
            </w:r>
          </w:p>
        </w:tc>
      </w:tr>
    </w:tbl>
    <w:p>
      <w:pPr>
        <w:pStyle w:val="Heading2"/>
        <w:numPr>
          <w:ilvl w:val="0"/>
          <w:numId w:val="10"/>
        </w:numPr>
      </w:pPr>
      <w:r>
        <w:t>Compliance &amp; Certifications</w:t>
      </w:r>
    </w:p>
    <w:p>
      <w:pPr>
        <w:spacing w:before="20" w:after="100" w:line="254" w:lineRule="auto"/>
        <w:jc w:val="left"/>
      </w:pPr>
      <w:r>
        <w:rPr>
          <w:rFonts w:ascii="Calibri" w:hAnsi="Calibri"/>
          <w:b w:val="0"/>
          <w:i/>
          <w:color w:val="6B7280"/>
          <w:sz w:val="18"/>
        </w:rPr>
        <w:t>Product, chemical and quality-system certification held and in force.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C9C2B6"/>
          <w:left w:val="single" w:sz="4" w:space="0" w:color="C9C2B6"/>
          <w:bottom w:val="single" w:sz="4" w:space="0" w:color="C9C2B6"/>
          <w:right w:val="single" w:sz="4" w:space="0" w:color="C9C2B6"/>
          <w:insideH w:val="single" w:sz="4" w:space="0" w:color="C9C2B6"/>
          <w:insideV w:val="single" w:sz="4" w:space="0" w:color="C9C2B6"/>
        </w:tblBorders>
      </w:tblPr>
      <w:tblGrid>
        <w:gridCol w:w="560"/>
        <w:gridCol w:w="3050"/>
        <w:gridCol w:w="1150"/>
        <w:gridCol w:w="3020"/>
        <w:gridCol w:w="1140"/>
        <w:gridCol w:w="946"/>
      </w:tblGrid>
      <w:tr>
        <w:tc>
          <w:tcPr>
            <w:tcW w:type="dxa" w:w="56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#</w:t>
            </w:r>
          </w:p>
        </w:tc>
        <w:tc>
          <w:tcPr>
            <w:tcW w:type="dxa" w:w="305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Requirement</w:t>
            </w:r>
          </w:p>
        </w:tc>
        <w:tc>
          <w:tcPr>
            <w:tcW w:type="dxa" w:w="115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Status</w:t>
            </w:r>
          </w:p>
        </w:tc>
        <w:tc>
          <w:tcPr>
            <w:tcW w:type="dxa" w:w="302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114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Verified by</w:t>
            </w:r>
          </w:p>
        </w:tc>
        <w:tc>
          <w:tcPr>
            <w:tcW w:type="dxa" w:w="946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Date</w:t>
            </w:r>
          </w:p>
        </w:tc>
      </w:tr>
      <w:tr>
        <w:tc>
          <w:tcPr>
            <w:tcW w:type="dxa" w:w="56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1</w:t>
            </w:r>
          </w:p>
        </w:tc>
        <w:tc>
          <w:tcPr>
            <w:tcW w:type="dxa" w:w="30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OEKO-TEX STANDARD 100 certificate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B00020"/>
                <w:sz w:val="20"/>
              </w:rPr>
              <w:t xml:space="preserve">✖  </w:t>
            </w:r>
            <w:r>
              <w:rPr>
                <w:rFonts w:ascii="Calibri" w:hAnsi="Calibri"/>
                <w:b/>
                <w:color w:val="B00020"/>
                <w:sz w:val="18"/>
              </w:rPr>
              <w:t>Fail</w:t>
            </w:r>
          </w:p>
        </w:tc>
        <w:tc>
          <w:tcPr>
            <w:tcW w:type="dxa" w:w="302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Cert. 21.0.94210 expired 2026-05-31</w:t>
            </w:r>
          </w:p>
        </w:tc>
        <w:tc>
          <w:tcPr>
            <w:tcW w:type="dxa" w:w="114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Q. Mendes</w:t>
            </w:r>
          </w:p>
        </w:tc>
        <w:tc>
          <w:tcPr>
            <w:tcW w:type="dxa" w:w="94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2026-07-10</w:t>
            </w:r>
          </w:p>
        </w:tc>
      </w:tr>
      <w:tr>
        <w:tc>
          <w:tcPr>
            <w:tcW w:type="dxa" w:w="56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2</w:t>
            </w:r>
          </w:p>
        </w:tc>
        <w:tc>
          <w:tcPr>
            <w:tcW w:type="dxa" w:w="305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GOTS / organic scope certificate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shd w:val="clear" w:color="auto" w:fill="EDE9E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GOTS-2025-PT-0412, valid 2027-03</w:t>
            </w:r>
          </w:p>
        </w:tc>
        <w:tc>
          <w:tcPr>
            <w:tcW w:type="dxa" w:w="114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Q. Mendes</w:t>
            </w:r>
          </w:p>
        </w:tc>
        <w:tc>
          <w:tcPr>
            <w:tcW w:type="dxa" w:w="946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2026-07-10</w:t>
            </w:r>
          </w:p>
        </w:tc>
      </w:tr>
      <w:tr>
        <w:tc>
          <w:tcPr>
            <w:tcW w:type="dxa" w:w="56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3</w:t>
            </w:r>
          </w:p>
        </w:tc>
        <w:tc>
          <w:tcPr>
            <w:tcW w:type="dxa" w:w="30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REACH / SVHC compliance declaration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Signed supplier declaration on file</w:t>
            </w:r>
          </w:p>
        </w:tc>
        <w:tc>
          <w:tcPr>
            <w:tcW w:type="dxa" w:w="114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Q. Mendes</w:t>
            </w:r>
          </w:p>
        </w:tc>
        <w:tc>
          <w:tcPr>
            <w:tcW w:type="dxa" w:w="94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2026-07-10</w:t>
            </w:r>
          </w:p>
        </w:tc>
      </w:tr>
      <w:tr>
        <w:tc>
          <w:tcPr>
            <w:tcW w:type="dxa" w:w="56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4</w:t>
            </w:r>
          </w:p>
        </w:tc>
        <w:tc>
          <w:tcPr>
            <w:tcW w:type="dxa" w:w="305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ISO 9001:2015 quality management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shd w:val="clear" w:color="auto" w:fill="EDE9E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Cert. PT-QMS-11894, valid 2026-11</w:t>
            </w:r>
          </w:p>
        </w:tc>
        <w:tc>
          <w:tcPr>
            <w:tcW w:type="dxa" w:w="114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Q. Mendes</w:t>
            </w:r>
          </w:p>
        </w:tc>
        <w:tc>
          <w:tcPr>
            <w:tcW w:type="dxa" w:w="946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2026-07-10</w:t>
            </w:r>
          </w:p>
        </w:tc>
      </w:tr>
      <w:tr>
        <w:tc>
          <w:tcPr>
            <w:tcW w:type="dxa" w:w="56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5</w:t>
            </w:r>
          </w:p>
        </w:tc>
        <w:tc>
          <w:tcPr>
            <w:tcW w:type="dxa" w:w="30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Product safety (care labelling, flammability)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Intertek test reports, 2025</w:t>
            </w:r>
          </w:p>
        </w:tc>
        <w:tc>
          <w:tcPr>
            <w:tcW w:type="dxa" w:w="114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Q. Mendes</w:t>
            </w:r>
          </w:p>
        </w:tc>
        <w:tc>
          <w:tcPr>
            <w:tcW w:type="dxa" w:w="94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2026-07-10</w:t>
            </w:r>
          </w:p>
        </w:tc>
      </w:tr>
      <w:tr>
        <w:tc>
          <w:tcPr>
            <w:tcW w:type="dxa" w:w="56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6</w:t>
            </w:r>
          </w:p>
        </w:tc>
        <w:tc>
          <w:tcPr>
            <w:tcW w:type="dxa" w:w="305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Chemical management (MRSL / ZDHC)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shd w:val="clear" w:color="auto" w:fill="EDE9E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6B7280"/>
                <w:sz w:val="20"/>
              </w:rPr>
              <w:t xml:space="preserve">—  </w:t>
            </w:r>
            <w:r>
              <w:rPr>
                <w:rFonts w:ascii="Calibri" w:hAnsi="Calibri"/>
                <w:b/>
                <w:color w:val="6B7280"/>
                <w:sz w:val="18"/>
              </w:rPr>
              <w:t>N/A</w:t>
            </w:r>
          </w:p>
        </w:tc>
        <w:tc>
          <w:tcPr>
            <w:tcW w:type="dxa" w:w="302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Out of scope for knit CMT operation</w:t>
            </w:r>
          </w:p>
        </w:tc>
        <w:tc>
          <w:tcPr>
            <w:tcW w:type="dxa" w:w="114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Q. Mendes</w:t>
            </w:r>
          </w:p>
        </w:tc>
        <w:tc>
          <w:tcPr>
            <w:tcW w:type="dxa" w:w="946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2026-07-10</w:t>
            </w:r>
          </w:p>
        </w:tc>
      </w:tr>
    </w:tbl>
    <w:p>
      <w:pPr>
        <w:pStyle w:val="Heading2"/>
        <w:pageBreakBefore/>
        <w:numPr>
          <w:ilvl w:val="0"/>
          <w:numId w:val="10"/>
        </w:numPr>
      </w:pPr>
      <w:r>
        <w:t>Ethical &amp; Labour</w:t>
      </w:r>
    </w:p>
    <w:p>
      <w:pPr>
        <w:spacing w:before="20" w:after="100" w:line="254" w:lineRule="auto"/>
        <w:jc w:val="left"/>
      </w:pPr>
      <w:r>
        <w:rPr>
          <w:rFonts w:ascii="Calibri" w:hAnsi="Calibri"/>
          <w:b w:val="0"/>
          <w:i/>
          <w:color w:val="6B7280"/>
          <w:sz w:val="18"/>
        </w:rPr>
        <w:t>Working conditions, human-rights safeguards and independent social-audit evidence.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C9C2B6"/>
          <w:left w:val="single" w:sz="4" w:space="0" w:color="C9C2B6"/>
          <w:bottom w:val="single" w:sz="4" w:space="0" w:color="C9C2B6"/>
          <w:right w:val="single" w:sz="4" w:space="0" w:color="C9C2B6"/>
          <w:insideH w:val="single" w:sz="4" w:space="0" w:color="C9C2B6"/>
          <w:insideV w:val="single" w:sz="4" w:space="0" w:color="C9C2B6"/>
        </w:tblBorders>
      </w:tblPr>
      <w:tblGrid>
        <w:gridCol w:w="560"/>
        <w:gridCol w:w="3050"/>
        <w:gridCol w:w="1150"/>
        <w:gridCol w:w="3020"/>
        <w:gridCol w:w="1140"/>
        <w:gridCol w:w="946"/>
      </w:tblGrid>
      <w:tr>
        <w:tc>
          <w:tcPr>
            <w:tcW w:type="dxa" w:w="56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#</w:t>
            </w:r>
          </w:p>
        </w:tc>
        <w:tc>
          <w:tcPr>
            <w:tcW w:type="dxa" w:w="305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Requirement</w:t>
            </w:r>
          </w:p>
        </w:tc>
        <w:tc>
          <w:tcPr>
            <w:tcW w:type="dxa" w:w="115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Status</w:t>
            </w:r>
          </w:p>
        </w:tc>
        <w:tc>
          <w:tcPr>
            <w:tcW w:type="dxa" w:w="302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114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Verified by</w:t>
            </w:r>
          </w:p>
        </w:tc>
        <w:tc>
          <w:tcPr>
            <w:tcW w:type="dxa" w:w="946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Date</w:t>
            </w:r>
          </w:p>
        </w:tc>
      </w:tr>
      <w:tr>
        <w:tc>
          <w:tcPr>
            <w:tcW w:type="dxa" w:w="56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1</w:t>
            </w:r>
          </w:p>
        </w:tc>
        <w:tc>
          <w:tcPr>
            <w:tcW w:type="dxa" w:w="30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Code of Conduct signed &amp; returned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Signed 2026-06-30, all clauses</w:t>
            </w:r>
          </w:p>
        </w:tc>
        <w:tc>
          <w:tcPr>
            <w:tcW w:type="dxa" w:w="114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E. Tavares</w:t>
            </w:r>
          </w:p>
        </w:tc>
        <w:tc>
          <w:tcPr>
            <w:tcW w:type="dxa" w:w="94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2026-07-07</w:t>
            </w:r>
          </w:p>
        </w:tc>
      </w:tr>
      <w:tr>
        <w:tc>
          <w:tcPr>
            <w:tcW w:type="dxa" w:w="56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2</w:t>
            </w:r>
          </w:p>
        </w:tc>
        <w:tc>
          <w:tcPr>
            <w:tcW w:type="dxa" w:w="305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No child labour (age-verification policy)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shd w:val="clear" w:color="auto" w:fill="EDE9E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Min. age 18; ID checks audited</w:t>
            </w:r>
          </w:p>
        </w:tc>
        <w:tc>
          <w:tcPr>
            <w:tcW w:type="dxa" w:w="114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E. Tavares</w:t>
            </w:r>
          </w:p>
        </w:tc>
        <w:tc>
          <w:tcPr>
            <w:tcW w:type="dxa" w:w="946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2026-07-07</w:t>
            </w:r>
          </w:p>
        </w:tc>
      </w:tr>
      <w:tr>
        <w:tc>
          <w:tcPr>
            <w:tcW w:type="dxa" w:w="56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3</w:t>
            </w:r>
          </w:p>
        </w:tc>
        <w:tc>
          <w:tcPr>
            <w:tcW w:type="dxa" w:w="30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No forced or bonded labour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No fees; docs retained; SMETA-verified</w:t>
            </w:r>
          </w:p>
        </w:tc>
        <w:tc>
          <w:tcPr>
            <w:tcW w:type="dxa" w:w="114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E. Tavares</w:t>
            </w:r>
          </w:p>
        </w:tc>
        <w:tc>
          <w:tcPr>
            <w:tcW w:type="dxa" w:w="94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2026-07-07</w:t>
            </w:r>
          </w:p>
        </w:tc>
      </w:tr>
      <w:tr>
        <w:tc>
          <w:tcPr>
            <w:tcW w:type="dxa" w:w="56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4</w:t>
            </w:r>
          </w:p>
        </w:tc>
        <w:tc>
          <w:tcPr>
            <w:tcW w:type="dxa" w:w="305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Working hours within legal limits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shd w:val="clear" w:color="auto" w:fill="EDE9E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≤48h + capped OT; time records sampled</w:t>
            </w:r>
          </w:p>
        </w:tc>
        <w:tc>
          <w:tcPr>
            <w:tcW w:type="dxa" w:w="114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E. Tavares</w:t>
            </w:r>
          </w:p>
        </w:tc>
        <w:tc>
          <w:tcPr>
            <w:tcW w:type="dxa" w:w="946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2026-07-07</w:t>
            </w:r>
          </w:p>
        </w:tc>
      </w:tr>
      <w:tr>
        <w:tc>
          <w:tcPr>
            <w:tcW w:type="dxa" w:w="56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5</w:t>
            </w:r>
          </w:p>
        </w:tc>
        <w:tc>
          <w:tcPr>
            <w:tcW w:type="dxa" w:w="30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Fair wages ≥ legal minimum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Above PT minimum; payslips sampled</w:t>
            </w:r>
          </w:p>
        </w:tc>
        <w:tc>
          <w:tcPr>
            <w:tcW w:type="dxa" w:w="114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E. Tavares</w:t>
            </w:r>
          </w:p>
        </w:tc>
        <w:tc>
          <w:tcPr>
            <w:tcW w:type="dxa" w:w="94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2026-07-07</w:t>
            </w:r>
          </w:p>
        </w:tc>
      </w:tr>
      <w:tr>
        <w:tc>
          <w:tcPr>
            <w:tcW w:type="dxa" w:w="56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6</w:t>
            </w:r>
          </w:p>
        </w:tc>
        <w:tc>
          <w:tcPr>
            <w:tcW w:type="dxa" w:w="305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Freedom of association / grievance line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shd w:val="clear" w:color="auto" w:fill="EDE9E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Works council + anonymous hotline</w:t>
            </w:r>
          </w:p>
        </w:tc>
        <w:tc>
          <w:tcPr>
            <w:tcW w:type="dxa" w:w="114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E. Tavares</w:t>
            </w:r>
          </w:p>
        </w:tc>
        <w:tc>
          <w:tcPr>
            <w:tcW w:type="dxa" w:w="946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2026-07-07</w:t>
            </w:r>
          </w:p>
        </w:tc>
      </w:tr>
      <w:tr>
        <w:tc>
          <w:tcPr>
            <w:tcW w:type="dxa" w:w="56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7</w:t>
            </w:r>
          </w:p>
        </w:tc>
        <w:tc>
          <w:tcPr>
            <w:tcW w:type="dxa" w:w="30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Recent social audit (SMETA / BSCI)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SMETA 4-pillar 2025-11; 2 minor NCs closed</w:t>
            </w:r>
          </w:p>
        </w:tc>
        <w:tc>
          <w:tcPr>
            <w:tcW w:type="dxa" w:w="114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E. Tavares</w:t>
            </w:r>
          </w:p>
        </w:tc>
        <w:tc>
          <w:tcPr>
            <w:tcW w:type="dxa" w:w="94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2026-07-07</w:t>
            </w:r>
          </w:p>
        </w:tc>
      </w:tr>
    </w:tbl>
    <w:p>
      <w:pPr>
        <w:pStyle w:val="Heading2"/>
        <w:numPr>
          <w:ilvl w:val="0"/>
          <w:numId w:val="10"/>
        </w:numPr>
      </w:pPr>
      <w:r>
        <w:t>Quality</w:t>
      </w:r>
    </w:p>
    <w:p>
      <w:pPr>
        <w:spacing w:before="20" w:after="100" w:line="254" w:lineRule="auto"/>
        <w:jc w:val="left"/>
      </w:pPr>
      <w:r>
        <w:rPr>
          <w:rFonts w:ascii="Calibri" w:hAnsi="Calibri"/>
          <w:b w:val="0"/>
          <w:i/>
          <w:color w:val="6B7280"/>
          <w:sz w:val="18"/>
        </w:rPr>
        <w:t>Quality-management system, inspection regime and end-to-end traceability.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C9C2B6"/>
          <w:left w:val="single" w:sz="4" w:space="0" w:color="C9C2B6"/>
          <w:bottom w:val="single" w:sz="4" w:space="0" w:color="C9C2B6"/>
          <w:right w:val="single" w:sz="4" w:space="0" w:color="C9C2B6"/>
          <w:insideH w:val="single" w:sz="4" w:space="0" w:color="C9C2B6"/>
          <w:insideV w:val="single" w:sz="4" w:space="0" w:color="C9C2B6"/>
        </w:tblBorders>
      </w:tblPr>
      <w:tblGrid>
        <w:gridCol w:w="560"/>
        <w:gridCol w:w="3050"/>
        <w:gridCol w:w="1150"/>
        <w:gridCol w:w="3020"/>
        <w:gridCol w:w="1140"/>
        <w:gridCol w:w="946"/>
      </w:tblGrid>
      <w:tr>
        <w:tc>
          <w:tcPr>
            <w:tcW w:type="dxa" w:w="56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#</w:t>
            </w:r>
          </w:p>
        </w:tc>
        <w:tc>
          <w:tcPr>
            <w:tcW w:type="dxa" w:w="305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Requirement</w:t>
            </w:r>
          </w:p>
        </w:tc>
        <w:tc>
          <w:tcPr>
            <w:tcW w:type="dxa" w:w="115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Status</w:t>
            </w:r>
          </w:p>
        </w:tc>
        <w:tc>
          <w:tcPr>
            <w:tcW w:type="dxa" w:w="302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114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Verified by</w:t>
            </w:r>
          </w:p>
        </w:tc>
        <w:tc>
          <w:tcPr>
            <w:tcW w:type="dxa" w:w="946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Date</w:t>
            </w:r>
          </w:p>
        </w:tc>
      </w:tr>
      <w:tr>
        <w:tc>
          <w:tcPr>
            <w:tcW w:type="dxa" w:w="56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1</w:t>
            </w:r>
          </w:p>
        </w:tc>
        <w:tc>
          <w:tcPr>
            <w:tcW w:type="dxa" w:w="30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Documented QMS / quality manual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ISO 9001 manual, rev 6</w:t>
            </w:r>
          </w:p>
        </w:tc>
        <w:tc>
          <w:tcPr>
            <w:tcW w:type="dxa" w:w="114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Q. Mendes</w:t>
            </w:r>
          </w:p>
        </w:tc>
        <w:tc>
          <w:tcPr>
            <w:tcW w:type="dxa" w:w="94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2026-07-10</w:t>
            </w:r>
          </w:p>
        </w:tc>
      </w:tr>
      <w:tr>
        <w:tc>
          <w:tcPr>
            <w:tcW w:type="dxa" w:w="56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2</w:t>
            </w:r>
          </w:p>
        </w:tc>
        <w:tc>
          <w:tcPr>
            <w:tcW w:type="dxa" w:w="305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AQL inspection process (ISO 2859-1)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shd w:val="clear" w:color="auto" w:fill="EDE9E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AQL 2.5 major / 4.0 minor, Level II</w:t>
            </w:r>
          </w:p>
        </w:tc>
        <w:tc>
          <w:tcPr>
            <w:tcW w:type="dxa" w:w="114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Q. Mendes</w:t>
            </w:r>
          </w:p>
        </w:tc>
        <w:tc>
          <w:tcPr>
            <w:tcW w:type="dxa" w:w="946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2026-07-10</w:t>
            </w:r>
          </w:p>
        </w:tc>
      </w:tr>
      <w:tr>
        <w:tc>
          <w:tcPr>
            <w:tcW w:type="dxa" w:w="56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3</w:t>
            </w:r>
          </w:p>
        </w:tc>
        <w:tc>
          <w:tcPr>
            <w:tcW w:type="dxa" w:w="30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Defect handling &amp; CAPA procedure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CAPA log reviewed on site</w:t>
            </w:r>
          </w:p>
        </w:tc>
        <w:tc>
          <w:tcPr>
            <w:tcW w:type="dxa" w:w="114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Q. Mendes</w:t>
            </w:r>
          </w:p>
        </w:tc>
        <w:tc>
          <w:tcPr>
            <w:tcW w:type="dxa" w:w="94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2026-07-10</w:t>
            </w:r>
          </w:p>
        </w:tc>
      </w:tr>
      <w:tr>
        <w:tc>
          <w:tcPr>
            <w:tcW w:type="dxa" w:w="56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4</w:t>
            </w:r>
          </w:p>
        </w:tc>
        <w:tc>
          <w:tcPr>
            <w:tcW w:type="dxa" w:w="305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Independent lab-testing capability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shd w:val="clear" w:color="auto" w:fill="EDE9E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Framework contract with CITEVE lab</w:t>
            </w:r>
          </w:p>
        </w:tc>
        <w:tc>
          <w:tcPr>
            <w:tcW w:type="dxa" w:w="114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Q. Mendes</w:t>
            </w:r>
          </w:p>
        </w:tc>
        <w:tc>
          <w:tcPr>
            <w:tcW w:type="dxa" w:w="946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2026-07-10</w:t>
            </w:r>
          </w:p>
        </w:tc>
      </w:tr>
      <w:tr>
        <w:tc>
          <w:tcPr>
            <w:tcW w:type="dxa" w:w="56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5</w:t>
            </w:r>
          </w:p>
        </w:tc>
        <w:tc>
          <w:tcPr>
            <w:tcW w:type="dxa" w:w="30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Sample approval / PP sign-off process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Sealed samples + PP inspection reports</w:t>
            </w:r>
          </w:p>
        </w:tc>
        <w:tc>
          <w:tcPr>
            <w:tcW w:type="dxa" w:w="114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Q. Mendes</w:t>
            </w:r>
          </w:p>
        </w:tc>
        <w:tc>
          <w:tcPr>
            <w:tcW w:type="dxa" w:w="94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2026-07-10</w:t>
            </w:r>
          </w:p>
        </w:tc>
      </w:tr>
      <w:tr>
        <w:tc>
          <w:tcPr>
            <w:tcW w:type="dxa" w:w="56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6</w:t>
            </w:r>
          </w:p>
        </w:tc>
        <w:tc>
          <w:tcPr>
            <w:tcW w:type="dxa" w:w="305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Traceability (fibre → finished garment)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shd w:val="clear" w:color="auto" w:fill="EDE9E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Batch/lot records; yarn COO logged</w:t>
            </w:r>
          </w:p>
        </w:tc>
        <w:tc>
          <w:tcPr>
            <w:tcW w:type="dxa" w:w="114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Q. Mendes</w:t>
            </w:r>
          </w:p>
        </w:tc>
        <w:tc>
          <w:tcPr>
            <w:tcW w:type="dxa" w:w="946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2026-07-10</w:t>
            </w:r>
          </w:p>
        </w:tc>
      </w:tr>
    </w:tbl>
    <w:p>
      <w:pPr>
        <w:pStyle w:val="Heading2"/>
        <w:pageBreakBefore/>
        <w:numPr>
          <w:ilvl w:val="0"/>
          <w:numId w:val="10"/>
        </w:numPr>
      </w:pPr>
      <w:r>
        <w:t>Capacity</w:t>
      </w:r>
    </w:p>
    <w:p>
      <w:pPr>
        <w:spacing w:before="20" w:after="100" w:line="254" w:lineRule="auto"/>
        <w:jc w:val="left"/>
      </w:pPr>
      <w:r>
        <w:rPr>
          <w:rFonts w:ascii="Calibri" w:hAnsi="Calibri"/>
          <w:b w:val="0"/>
          <w:i/>
          <w:color w:val="6B7280"/>
          <w:sz w:val="18"/>
        </w:rPr>
        <w:t>Production capacity, equipment, lead times and disclosure of any outsourced processes.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C9C2B6"/>
          <w:left w:val="single" w:sz="4" w:space="0" w:color="C9C2B6"/>
          <w:bottom w:val="single" w:sz="4" w:space="0" w:color="C9C2B6"/>
          <w:right w:val="single" w:sz="4" w:space="0" w:color="C9C2B6"/>
          <w:insideH w:val="single" w:sz="4" w:space="0" w:color="C9C2B6"/>
          <w:insideV w:val="single" w:sz="4" w:space="0" w:color="C9C2B6"/>
        </w:tblBorders>
      </w:tblPr>
      <w:tblGrid>
        <w:gridCol w:w="560"/>
        <w:gridCol w:w="3050"/>
        <w:gridCol w:w="1150"/>
        <w:gridCol w:w="3020"/>
        <w:gridCol w:w="1140"/>
        <w:gridCol w:w="946"/>
      </w:tblGrid>
      <w:tr>
        <w:tc>
          <w:tcPr>
            <w:tcW w:type="dxa" w:w="56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#</w:t>
            </w:r>
          </w:p>
        </w:tc>
        <w:tc>
          <w:tcPr>
            <w:tcW w:type="dxa" w:w="305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Requirement</w:t>
            </w:r>
          </w:p>
        </w:tc>
        <w:tc>
          <w:tcPr>
            <w:tcW w:type="dxa" w:w="115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Status</w:t>
            </w:r>
          </w:p>
        </w:tc>
        <w:tc>
          <w:tcPr>
            <w:tcW w:type="dxa" w:w="302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114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Verified by</w:t>
            </w:r>
          </w:p>
        </w:tc>
        <w:tc>
          <w:tcPr>
            <w:tcW w:type="dxa" w:w="946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Date</w:t>
            </w:r>
          </w:p>
        </w:tc>
      </w:tr>
      <w:tr>
        <w:tc>
          <w:tcPr>
            <w:tcW w:type="dxa" w:w="56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1</w:t>
            </w:r>
          </w:p>
        </w:tc>
        <w:tc>
          <w:tcPr>
            <w:tcW w:type="dxa" w:w="30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Monthly production capacity stated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42,000 units/month declared</w:t>
            </w:r>
          </w:p>
        </w:tc>
        <w:tc>
          <w:tcPr>
            <w:tcW w:type="dxa" w:w="114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S. Lund</w:t>
            </w:r>
          </w:p>
        </w:tc>
        <w:tc>
          <w:tcPr>
            <w:tcW w:type="dxa" w:w="94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2026-07-11</w:t>
            </w:r>
          </w:p>
        </w:tc>
      </w:tr>
      <w:tr>
        <w:tc>
          <w:tcPr>
            <w:tcW w:type="dxa" w:w="56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2</w:t>
            </w:r>
          </w:p>
        </w:tc>
        <w:tc>
          <w:tcPr>
            <w:tcW w:type="dxa" w:w="305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Machine list &amp; gauge range provided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shd w:val="clear" w:color="auto" w:fill="EDE9E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38 Stoll/Shima flatbeds, 3–12 gg</w:t>
            </w:r>
          </w:p>
        </w:tc>
        <w:tc>
          <w:tcPr>
            <w:tcW w:type="dxa" w:w="114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S. Lund</w:t>
            </w:r>
          </w:p>
        </w:tc>
        <w:tc>
          <w:tcPr>
            <w:tcW w:type="dxa" w:w="946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2026-07-11</w:t>
            </w:r>
          </w:p>
        </w:tc>
      </w:tr>
      <w:tr>
        <w:tc>
          <w:tcPr>
            <w:tcW w:type="dxa" w:w="56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3</w:t>
            </w:r>
          </w:p>
        </w:tc>
        <w:tc>
          <w:tcPr>
            <w:tcW w:type="dxa" w:w="30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Standard lead times confirmed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45 days bulk after PP approval</w:t>
            </w:r>
          </w:p>
        </w:tc>
        <w:tc>
          <w:tcPr>
            <w:tcW w:type="dxa" w:w="114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S. Lund</w:t>
            </w:r>
          </w:p>
        </w:tc>
        <w:tc>
          <w:tcPr>
            <w:tcW w:type="dxa" w:w="94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2026-07-11</w:t>
            </w:r>
          </w:p>
        </w:tc>
      </w:tr>
      <w:tr>
        <w:tc>
          <w:tcPr>
            <w:tcW w:type="dxa" w:w="56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4</w:t>
            </w:r>
          </w:p>
        </w:tc>
        <w:tc>
          <w:tcPr>
            <w:tcW w:type="dxa" w:w="305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Subcontractor / outsourcing disclosure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shd w:val="clear" w:color="auto" w:fill="EDE9E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B00020"/>
                <w:sz w:val="20"/>
              </w:rPr>
              <w:t xml:space="preserve">✖  </w:t>
            </w:r>
            <w:r>
              <w:rPr>
                <w:rFonts w:ascii="Calibri" w:hAnsi="Calibri"/>
                <w:b/>
                <w:color w:val="B00020"/>
                <w:sz w:val="18"/>
              </w:rPr>
              <w:t>Fail</w:t>
            </w:r>
          </w:p>
        </w:tc>
        <w:tc>
          <w:tcPr>
            <w:tcW w:type="dxa" w:w="302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Linking &amp; washing subcontractor not declared — found on site</w:t>
            </w:r>
          </w:p>
        </w:tc>
        <w:tc>
          <w:tcPr>
            <w:tcW w:type="dxa" w:w="114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S. Lund</w:t>
            </w:r>
          </w:p>
        </w:tc>
        <w:tc>
          <w:tcPr>
            <w:tcW w:type="dxa" w:w="946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2026-07-11</w:t>
            </w:r>
          </w:p>
        </w:tc>
      </w:tr>
      <w:tr>
        <w:tc>
          <w:tcPr>
            <w:tcW w:type="dxa" w:w="56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5</w:t>
            </w:r>
          </w:p>
        </w:tc>
        <w:tc>
          <w:tcPr>
            <w:tcW w:type="dxa" w:w="30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Seasonal peak / surge-handling plan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Overflow via approved capacity buffer</w:t>
            </w:r>
          </w:p>
        </w:tc>
        <w:tc>
          <w:tcPr>
            <w:tcW w:type="dxa" w:w="114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S. Lund</w:t>
            </w:r>
          </w:p>
        </w:tc>
        <w:tc>
          <w:tcPr>
            <w:tcW w:type="dxa" w:w="94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2026-07-11</w:t>
            </w:r>
          </w:p>
        </w:tc>
      </w:tr>
    </w:tbl>
    <w:p>
      <w:pPr>
        <w:spacing w:before="120" w:after="40" w:line="269" w:lineRule="auto"/>
        <w:ind w:left="142"/>
        <w:jc w:val="left"/>
        <w:shd w:val="clear" w:color="auto" w:fill="EDE9E3"/>
        <w:pBdr>
          <w:left w:val="single" w:sz="18" w:space="6" w:color="1B2A4A"/>
        </w:pBdr>
      </w:pPr>
      <w:r>
        <w:rPr>
          <w:rFonts w:ascii="Segoe UI" w:hAnsi="Segoe UI"/>
          <w:b/>
          <w:color w:val="1B2A4A"/>
          <w:sz w:val="18"/>
        </w:rPr>
        <w:t xml:space="preserve">Finding — undisclosed subcontractor. </w:t>
      </w:r>
      <w:r>
        <w:rPr>
          <w:rFonts w:ascii="Calibri" w:hAnsi="Calibri"/>
          <w:color w:val="222733"/>
          <w:sz w:val="18"/>
        </w:rPr>
        <w:t>An external linking and wet-processing unit in Vizela was identified during the site walk but does not appear on the declared subcontractor list. Supplier disclosure and a compliance flow-down to the sub-tier are required before first bulk order (see corrective action CA-2).</w:t>
      </w:r>
    </w:p>
    <w:p>
      <w:pPr>
        <w:pStyle w:val="Heading2"/>
        <w:pageBreakBefore/>
        <w:numPr>
          <w:ilvl w:val="0"/>
          <w:numId w:val="10"/>
        </w:numPr>
      </w:pPr>
      <w:r>
        <w:t>Commercial</w:t>
      </w:r>
    </w:p>
    <w:p>
      <w:pPr>
        <w:spacing w:before="20" w:after="100" w:line="254" w:lineRule="auto"/>
        <w:jc w:val="left"/>
      </w:pPr>
      <w:r>
        <w:rPr>
          <w:rFonts w:ascii="Calibri" w:hAnsi="Calibri"/>
          <w:b w:val="0"/>
          <w:i/>
          <w:color w:val="6B7280"/>
          <w:sz w:val="18"/>
        </w:rPr>
        <w:t>Trading terms, contractual cover and sustainability commitments for the partnership.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C9C2B6"/>
          <w:left w:val="single" w:sz="4" w:space="0" w:color="C9C2B6"/>
          <w:bottom w:val="single" w:sz="4" w:space="0" w:color="C9C2B6"/>
          <w:right w:val="single" w:sz="4" w:space="0" w:color="C9C2B6"/>
          <w:insideH w:val="single" w:sz="4" w:space="0" w:color="C9C2B6"/>
          <w:insideV w:val="single" w:sz="4" w:space="0" w:color="C9C2B6"/>
        </w:tblBorders>
      </w:tblPr>
      <w:tblGrid>
        <w:gridCol w:w="560"/>
        <w:gridCol w:w="3050"/>
        <w:gridCol w:w="1150"/>
        <w:gridCol w:w="3020"/>
        <w:gridCol w:w="1140"/>
        <w:gridCol w:w="946"/>
      </w:tblGrid>
      <w:tr>
        <w:tc>
          <w:tcPr>
            <w:tcW w:type="dxa" w:w="56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#</w:t>
            </w:r>
          </w:p>
        </w:tc>
        <w:tc>
          <w:tcPr>
            <w:tcW w:type="dxa" w:w="305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Requirement</w:t>
            </w:r>
          </w:p>
        </w:tc>
        <w:tc>
          <w:tcPr>
            <w:tcW w:type="dxa" w:w="115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Status</w:t>
            </w:r>
          </w:p>
        </w:tc>
        <w:tc>
          <w:tcPr>
            <w:tcW w:type="dxa" w:w="302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114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Verified by</w:t>
            </w:r>
          </w:p>
        </w:tc>
        <w:tc>
          <w:tcPr>
            <w:tcW w:type="dxa" w:w="946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Date</w:t>
            </w:r>
          </w:p>
        </w:tc>
      </w:tr>
      <w:tr>
        <w:tc>
          <w:tcPr>
            <w:tcW w:type="dxa" w:w="56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1</w:t>
            </w:r>
          </w:p>
        </w:tc>
        <w:tc>
          <w:tcPr>
            <w:tcW w:type="dxa" w:w="30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Pricing &amp; Incoterms agreed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FOB Porto; SS26 price list signed</w:t>
            </w:r>
          </w:p>
        </w:tc>
        <w:tc>
          <w:tcPr>
            <w:tcW w:type="dxa" w:w="114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S. Lund</w:t>
            </w:r>
          </w:p>
        </w:tc>
        <w:tc>
          <w:tcPr>
            <w:tcW w:type="dxa" w:w="94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2026-07-12</w:t>
            </w:r>
          </w:p>
        </w:tc>
      </w:tr>
      <w:tr>
        <w:tc>
          <w:tcPr>
            <w:tcW w:type="dxa" w:w="56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2</w:t>
            </w:r>
          </w:p>
        </w:tc>
        <w:tc>
          <w:tcPr>
            <w:tcW w:type="dxa" w:w="305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Minimum order quantities (MOQ)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shd w:val="clear" w:color="auto" w:fill="EDE9E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300 units/style, 150/colour</w:t>
            </w:r>
          </w:p>
        </w:tc>
        <w:tc>
          <w:tcPr>
            <w:tcW w:type="dxa" w:w="114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S. Lund</w:t>
            </w:r>
          </w:p>
        </w:tc>
        <w:tc>
          <w:tcPr>
            <w:tcW w:type="dxa" w:w="946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2026-07-12</w:t>
            </w:r>
          </w:p>
        </w:tc>
      </w:tr>
      <w:tr>
        <w:tc>
          <w:tcPr>
            <w:tcW w:type="dxa" w:w="56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3</w:t>
            </w:r>
          </w:p>
        </w:tc>
        <w:tc>
          <w:tcPr>
            <w:tcW w:type="dxa" w:w="30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Payment terms agreed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30% deposit / 70% net 30 days</w:t>
            </w:r>
          </w:p>
        </w:tc>
        <w:tc>
          <w:tcPr>
            <w:tcW w:type="dxa" w:w="114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L. Marsh</w:t>
            </w:r>
          </w:p>
        </w:tc>
        <w:tc>
          <w:tcPr>
            <w:tcW w:type="dxa" w:w="94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2026-07-12</w:t>
            </w:r>
          </w:p>
        </w:tc>
      </w:tr>
      <w:tr>
        <w:tc>
          <w:tcPr>
            <w:tcW w:type="dxa" w:w="56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4</w:t>
            </w:r>
          </w:p>
        </w:tc>
        <w:tc>
          <w:tcPr>
            <w:tcW w:type="dxa" w:w="305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Mutual NDA executed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shd w:val="clear" w:color="auto" w:fill="EDE9E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Signed 2026-06-25</w:t>
            </w:r>
          </w:p>
        </w:tc>
        <w:tc>
          <w:tcPr>
            <w:tcW w:type="dxa" w:w="114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L. Marsh</w:t>
            </w:r>
          </w:p>
        </w:tc>
        <w:tc>
          <w:tcPr>
            <w:tcW w:type="dxa" w:w="946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2026-07-12</w:t>
            </w:r>
          </w:p>
        </w:tc>
      </w:tr>
      <w:tr>
        <w:tc>
          <w:tcPr>
            <w:tcW w:type="dxa" w:w="56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5</w:t>
            </w:r>
          </w:p>
        </w:tc>
        <w:tc>
          <w:tcPr>
            <w:tcW w:type="dxa" w:w="30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Master supply agreement signed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6B7280"/>
                <w:sz w:val="20"/>
              </w:rPr>
              <w:t xml:space="preserve">—  </w:t>
            </w:r>
            <w:r>
              <w:rPr>
                <w:rFonts w:ascii="Calibri" w:hAnsi="Calibri"/>
                <w:b/>
                <w:color w:val="6B7280"/>
                <w:sz w:val="18"/>
              </w:rPr>
              <w:t>N/A</w:t>
            </w:r>
          </w:p>
        </w:tc>
        <w:tc>
          <w:tcPr>
            <w:tcW w:type="dxa" w:w="302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Pending onboarding approval</w:t>
            </w:r>
          </w:p>
        </w:tc>
        <w:tc>
          <w:tcPr>
            <w:tcW w:type="dxa" w:w="114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L. Marsh</w:t>
            </w:r>
          </w:p>
        </w:tc>
        <w:tc>
          <w:tcPr>
            <w:tcW w:type="dxa" w:w="94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2026-07-12</w:t>
            </w:r>
          </w:p>
        </w:tc>
      </w:tr>
      <w:tr>
        <w:tc>
          <w:tcPr>
            <w:tcW w:type="dxa" w:w="56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6</w:t>
            </w:r>
          </w:p>
        </w:tc>
        <w:tc>
          <w:tcPr>
            <w:tcW w:type="dxa" w:w="305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8"/>
              </w:rPr>
              <w:t>Sustainability commitments (targets)</w:t>
            </w:r>
          </w:p>
        </w:tc>
        <w:tc>
          <w:tcPr>
            <w:tcW w:type="dxa" w:w="11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shd w:val="clear" w:color="auto" w:fill="EDE9E3"/>
          </w:tcPr>
          <w:p>
            <w:pPr>
              <w:spacing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B7A3D"/>
                <w:sz w:val="20"/>
              </w:rPr>
              <w:t xml:space="preserve">✔  </w:t>
            </w:r>
            <w:r>
              <w:rPr>
                <w:rFonts w:ascii="Calibri" w:hAnsi="Calibri"/>
                <w:b/>
                <w:color w:val="1B7A3D"/>
                <w:sz w:val="18"/>
              </w:rPr>
              <w:t>Pass</w:t>
            </w:r>
          </w:p>
        </w:tc>
        <w:tc>
          <w:tcPr>
            <w:tcW w:type="dxa" w:w="302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Recycled-content roadmap agreed</w:t>
            </w:r>
          </w:p>
        </w:tc>
        <w:tc>
          <w:tcPr>
            <w:tcW w:type="dxa" w:w="114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E. Tavares</w:t>
            </w:r>
          </w:p>
        </w:tc>
        <w:tc>
          <w:tcPr>
            <w:tcW w:type="dxa" w:w="946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6B7280"/>
                <w:sz w:val="16"/>
              </w:rPr>
              <w:t>2026-07-12</w:t>
            </w:r>
          </w:p>
        </w:tc>
      </w:tr>
    </w:tbl>
    <w:p>
      <w:pPr>
        <w:spacing w:before="120" w:after="40" w:line="269" w:lineRule="auto"/>
        <w:ind w:left="142"/>
        <w:jc w:val="left"/>
        <w:shd w:val="clear" w:color="auto" w:fill="EDE9E3"/>
        <w:pBdr>
          <w:left w:val="single" w:sz="18" w:space="6" w:color="1B2A4A"/>
        </w:pBdr>
      </w:pPr>
      <w:r>
        <w:rPr>
          <w:rFonts w:ascii="Segoe UI" w:hAnsi="Segoe UI"/>
          <w:b/>
          <w:color w:val="1B2A4A"/>
          <w:sz w:val="18"/>
        </w:rPr>
        <w:t xml:space="preserve">Note — contract sequencing. </w:t>
      </w:r>
      <w:r>
        <w:rPr>
          <w:rFonts w:ascii="Calibri" w:hAnsi="Calibri"/>
          <w:color w:val="222733"/>
          <w:sz w:val="18"/>
        </w:rPr>
        <w:t>The master supply agreement is drafted and agreed in principle; execution is deliberately held until the two open red-flag items are cleared, so that certification and disclosure obligations are captured as binding conditions in the signed contract.</w:t>
      </w:r>
    </w:p>
    <w:p>
      <w:pPr>
        <w:pStyle w:val="Heading1"/>
        <w:pageBreakBefore/>
      </w:pPr>
      <w:r>
        <w:t>Audit Summary &amp; Approval Decision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C9C2B6"/>
          <w:left w:val="single" w:sz="4" w:space="0" w:color="C9C2B6"/>
          <w:bottom w:val="single" w:sz="4" w:space="0" w:color="C9C2B6"/>
          <w:right w:val="single" w:sz="4" w:space="0" w:color="C9C2B6"/>
          <w:insideH w:val="single" w:sz="4" w:space="0" w:color="C9C2B6"/>
          <w:insideV w:val="single" w:sz="4" w:space="0" w:color="C9C2B6"/>
        </w:tblBorders>
      </w:tblPr>
      <w:tblGrid>
        <w:gridCol w:w="2600"/>
        <w:gridCol w:w="7266"/>
      </w:tblGrid>
      <w:tr>
        <w:tc>
          <w:tcPr>
            <w:tcW w:type="dxa" w:w="260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8"/>
              </w:rPr>
              <w:t>OVERALL RATING</w:t>
            </w:r>
          </w:p>
        </w:tc>
        <w:tc>
          <w:tcPr>
            <w:tcW w:type="dxa" w:w="7266"/>
            <w:shd w:val="clear" w:color="auto" w:fill="F4E4BC"/>
            <w:tcMar>
              <w:top w:w="60" w:type="dxa"/>
              <w:bottom w:w="60" w:type="dxa"/>
              <w:left w:w="120" w:type="dxa"/>
              <w:right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Segoe UI" w:hAnsi="Segoe UI"/>
                <w:b/>
                <w:color w:val="8A6300"/>
                <w:sz w:val="26"/>
              </w:rPr>
              <w:t>B — Approved with conditions</w:t>
            </w:r>
            <w:r>
              <w:rPr>
                <w:rFonts w:ascii="Calibri" w:hAnsi="Calibri"/>
                <w:color w:val="6B7280"/>
                <w:sz w:val="17"/>
              </w:rPr>
              <w:t xml:space="preserve">      (scale A–D: A pass · B conditional · C remediate · D reject)</w:t>
            </w:r>
          </w:p>
        </w:tc>
      </w:tr>
    </w:tbl>
    <w:p>
      <w:pPr>
        <w:spacing w:before="160" w:after="120" w:line="274" w:lineRule="auto"/>
        <w:jc w:val="both"/>
      </w:pPr>
      <w:r>
        <w:rPr>
          <w:rFonts w:ascii="Calibri" w:hAnsi="Calibri"/>
          <w:b w:val="0"/>
          <w:i w:val="0"/>
          <w:color w:val="222733"/>
          <w:sz w:val="19"/>
        </w:rPr>
        <w:t>Malhas do Ave is a capable, well-run knitwear factory that meets Fenwick’s standards on labour, financial standing and quality. Two material issues — an expired product certificate and an undisclosed subcontractor — must be resolved before production is released. Both are correctable and neither indicates systemic risk; approval is therefore conditional rather than declined.</w:t>
      </w:r>
    </w:p>
    <w:p>
      <w:pPr>
        <w:spacing w:before="80" w:after="60" w:line="254" w:lineRule="auto"/>
        <w:jc w:val="left"/>
      </w:pPr>
      <w:r>
        <w:rPr>
          <w:rFonts w:ascii="Segoe UI" w:hAnsi="Segoe UI"/>
          <w:b/>
          <w:i w:val="0"/>
          <w:color w:val="B00020"/>
          <w:sz w:val="22"/>
        </w:rPr>
        <w:t>Red flags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C9C2B6"/>
          <w:left w:val="single" w:sz="4" w:space="0" w:color="C9C2B6"/>
          <w:bottom w:val="single" w:sz="4" w:space="0" w:color="C9C2B6"/>
          <w:right w:val="single" w:sz="4" w:space="0" w:color="C9C2B6"/>
          <w:insideH w:val="single" w:sz="4" w:space="0" w:color="C9C2B6"/>
          <w:insideV w:val="single" w:sz="4" w:space="0" w:color="C9C2B6"/>
        </w:tblBorders>
      </w:tblPr>
      <w:tblGrid>
        <w:gridCol w:w="520"/>
        <w:gridCol w:w="4600"/>
        <w:gridCol w:w="2400"/>
        <w:gridCol w:w="2346"/>
      </w:tblGrid>
      <w:tr>
        <w:tc>
          <w:tcPr>
            <w:tcW w:type="dxa" w:w="52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#</w:t>
            </w:r>
          </w:p>
        </w:tc>
        <w:tc>
          <w:tcPr>
            <w:tcW w:type="dxa" w:w="460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Red flag</w:t>
            </w:r>
          </w:p>
        </w:tc>
        <w:tc>
          <w:tcPr>
            <w:tcW w:type="dxa" w:w="240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Requirement affected</w:t>
            </w:r>
          </w:p>
        </w:tc>
        <w:tc>
          <w:tcPr>
            <w:tcW w:type="dxa" w:w="2346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Severity</w:t>
            </w:r>
          </w:p>
        </w:tc>
      </w:tr>
      <w:tr>
        <w:tc>
          <w:tcPr>
            <w:tcW w:type="dxa" w:w="52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B00020"/>
                <w:sz w:val="18"/>
              </w:rPr>
              <w:t>1</w:t>
            </w:r>
          </w:p>
        </w:tc>
        <w:tc>
          <w:tcPr>
            <w:tcW w:type="dxa" w:w="460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OEKO-TEX STANDARD 100 certificate expired 2026-05-31; no renewal evidence provided.</w:t>
            </w:r>
          </w:p>
        </w:tc>
        <w:tc>
          <w:tcPr>
            <w:tcW w:type="dxa" w:w="240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2.1 Compliance &amp; Certifications</w:t>
            </w:r>
          </w:p>
        </w:tc>
        <w:tc>
          <w:tcPr>
            <w:tcW w:type="dxa" w:w="234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B00020"/>
                <w:sz w:val="17"/>
              </w:rPr>
              <w:t>HIGH</w:t>
            </w:r>
          </w:p>
        </w:tc>
      </w:tr>
      <w:tr>
        <w:tc>
          <w:tcPr>
            <w:tcW w:type="dxa" w:w="52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B00020"/>
                <w:sz w:val="18"/>
              </w:rPr>
              <w:t>2</w:t>
            </w:r>
          </w:p>
        </w:tc>
        <w:tc>
          <w:tcPr>
            <w:tcW w:type="dxa" w:w="460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Linking &amp; wet-processing subcontractor (Vizela) operating undisclosed, outside the declared supplier list.</w:t>
            </w:r>
          </w:p>
        </w:tc>
        <w:tc>
          <w:tcPr>
            <w:tcW w:type="dxa" w:w="240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5.4 Capacity / disclosure</w:t>
            </w:r>
          </w:p>
        </w:tc>
        <w:tc>
          <w:tcPr>
            <w:tcW w:type="dxa" w:w="2346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B00020"/>
                <w:sz w:val="17"/>
              </w:rPr>
              <w:t>HIGH</w:t>
            </w:r>
          </w:p>
        </w:tc>
      </w:tr>
    </w:tbl>
    <w:p>
      <w:pPr>
        <w:spacing w:before="160" w:after="60" w:line="254" w:lineRule="auto"/>
        <w:jc w:val="left"/>
      </w:pPr>
      <w:r>
        <w:rPr>
          <w:rFonts w:ascii="Segoe UI" w:hAnsi="Segoe UI"/>
          <w:b/>
          <w:i w:val="0"/>
          <w:color w:val="1B2A4A"/>
          <w:sz w:val="22"/>
        </w:rPr>
        <w:t>Corrective actions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C9C2B6"/>
          <w:left w:val="single" w:sz="4" w:space="0" w:color="C9C2B6"/>
          <w:bottom w:val="single" w:sz="4" w:space="0" w:color="C9C2B6"/>
          <w:right w:val="single" w:sz="4" w:space="0" w:color="C9C2B6"/>
          <w:insideH w:val="single" w:sz="4" w:space="0" w:color="C9C2B6"/>
          <w:insideV w:val="single" w:sz="4" w:space="0" w:color="C9C2B6"/>
        </w:tblBorders>
      </w:tblPr>
      <w:tblGrid>
        <w:gridCol w:w="820"/>
        <w:gridCol w:w="4100"/>
        <w:gridCol w:w="1750"/>
        <w:gridCol w:w="1250"/>
        <w:gridCol w:w="1946"/>
      </w:tblGrid>
      <w:tr>
        <w:tc>
          <w:tcPr>
            <w:tcW w:type="dxa" w:w="82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Ref</w:t>
            </w:r>
          </w:p>
        </w:tc>
        <w:tc>
          <w:tcPr>
            <w:tcW w:type="dxa" w:w="410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Action</w:t>
            </w:r>
          </w:p>
        </w:tc>
        <w:tc>
          <w:tcPr>
            <w:tcW w:type="dxa" w:w="175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Owner</w:t>
            </w:r>
          </w:p>
        </w:tc>
        <w:tc>
          <w:tcPr>
            <w:tcW w:type="dxa" w:w="1250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Due date</w:t>
            </w:r>
          </w:p>
        </w:tc>
        <w:tc>
          <w:tcPr>
            <w:tcW w:type="dxa" w:w="1946"/>
            <w:shd w:val="clear" w:color="auto" w:fill="1B2A4A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Segoe UI" w:hAnsi="Segoe UI"/>
                <w:b/>
                <w:i w:val="0"/>
                <w:color w:val="FFFFFF"/>
                <w:sz w:val="17"/>
              </w:rPr>
              <w:t>Status</w:t>
            </w:r>
          </w:p>
        </w:tc>
      </w:tr>
      <w:tr>
        <w:tc>
          <w:tcPr>
            <w:tcW w:type="dxa" w:w="82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CA-1</w:t>
            </w:r>
          </w:p>
        </w:tc>
        <w:tc>
          <w:tcPr>
            <w:tcW w:type="dxa" w:w="410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Provide renewed OEKO-TEX STANDARD 100 certificate covering all supplied qualities.</w:t>
            </w:r>
          </w:p>
        </w:tc>
        <w:tc>
          <w:tcPr>
            <w:tcW w:type="dxa" w:w="17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Q. Mendes (supplier)</w:t>
            </w:r>
          </w:p>
        </w:tc>
        <w:tc>
          <w:tcPr>
            <w:tcW w:type="dxa" w:w="1250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222733"/>
                <w:sz w:val="16"/>
              </w:rPr>
              <w:t>2026-08-15</w:t>
            </w:r>
          </w:p>
        </w:tc>
        <w:tc>
          <w:tcPr>
            <w:tcW w:type="dxa" w:w="1946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B00020"/>
                <w:sz w:val="17"/>
              </w:rPr>
              <w:t>✖  Open</w:t>
            </w:r>
          </w:p>
        </w:tc>
      </w:tr>
      <w:tr>
        <w:tc>
          <w:tcPr>
            <w:tcW w:type="dxa" w:w="82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/>
                <w:i w:val="0"/>
                <w:color w:val="1B2A4A"/>
                <w:sz w:val="18"/>
              </w:rPr>
              <w:t>CA-2</w:t>
            </w:r>
          </w:p>
        </w:tc>
        <w:tc>
          <w:tcPr>
            <w:tcW w:type="dxa" w:w="410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Formally disclose the Vizela subcontractor; flow down Code of Conduct and obtain sub-tier compliance sign-off.</w:t>
            </w:r>
          </w:p>
        </w:tc>
        <w:tc>
          <w:tcPr>
            <w:tcW w:type="dxa" w:w="175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222733"/>
                <w:sz w:val="17"/>
              </w:rPr>
              <w:t>S. Lund / A. Ribeiro</w:t>
            </w:r>
          </w:p>
        </w:tc>
        <w:tc>
          <w:tcPr>
            <w:tcW w:type="dxa" w:w="1250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onsolas" w:hAnsi="Consolas"/>
                <w:b w:val="0"/>
                <w:i w:val="0"/>
                <w:color w:val="222733"/>
                <w:sz w:val="16"/>
              </w:rPr>
              <w:t>2026-08-08</w:t>
            </w:r>
          </w:p>
        </w:tc>
        <w:tc>
          <w:tcPr>
            <w:tcW w:type="dxa" w:w="1946"/>
            <w:shd w:val="clear" w:color="auto" w:fill="EDE9E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B00020"/>
                <w:sz w:val="17"/>
              </w:rPr>
              <w:t>✖  Open</w:t>
            </w:r>
          </w:p>
        </w:tc>
      </w:tr>
    </w:tbl>
    <w:p>
      <w:pPr>
        <w:spacing w:before="200" w:after="0" w:line="254" w:lineRule="auto"/>
        <w:ind w:left="142"/>
        <w:jc w:val="left"/>
        <w:shd w:val="clear" w:color="auto" w:fill="F4E4BC"/>
        <w:pBdr>
          <w:top w:val="single" w:sz="12" w:space="3" w:color="8A6300"/>
          <w:bottom w:val="single" w:sz="12" w:space="3" w:color="8A6300"/>
          <w:left w:val="single" w:sz="18" w:space="6" w:color="8A6300"/>
        </w:pBdr>
      </w:pPr>
      <w:r>
        <w:rPr>
          <w:rFonts w:ascii="Segoe UI" w:hAnsi="Segoe UI"/>
          <w:b/>
          <w:color w:val="8A6300"/>
          <w:sz w:val="26"/>
        </w:rPr>
        <w:t>APPROVAL DECISION:  CONDITIONAL</w:t>
      </w:r>
    </w:p>
    <w:p>
      <w:pPr>
        <w:shd w:val="clear" w:color="auto" w:fill="F4E4BC"/>
        <w:pBdr>
          <w:bottom w:val="single" w:sz="12" w:space="3" w:color="8A6300"/>
          <w:left w:val="single" w:sz="18" w:space="6" w:color="8A6300"/>
        </w:pBdr>
        <w:spacing w:before="0" w:after="80"/>
        <w:ind w:left="142"/>
      </w:pPr>
      <w:r>
        <w:rPr>
          <w:rFonts w:ascii="Calibri" w:hAnsi="Calibri"/>
          <w:color w:val="222733"/>
          <w:sz w:val="18"/>
        </w:rPr>
        <w:t>Malhas do Ave is approved as a Fenwick Knitwear supplier subject to closure of the conditions below. No bulk production may be released until all conditions are verified as met by the Compliance Officer.</w:t>
      </w:r>
    </w:p>
    <w:p>
      <w:pPr>
        <w:spacing w:before="160" w:after="60" w:line="254" w:lineRule="auto"/>
        <w:jc w:val="left"/>
      </w:pPr>
      <w:r>
        <w:rPr>
          <w:rFonts w:ascii="Segoe UI" w:hAnsi="Segoe UI"/>
          <w:b/>
          <w:i w:val="0"/>
          <w:color w:val="1B2A4A"/>
          <w:sz w:val="21"/>
        </w:rPr>
        <w:t>Conditions of approval</w:t>
      </w:r>
    </w:p>
    <w:p>
      <w:pPr>
        <w:numPr>
          <w:ilvl w:val="0"/>
          <w:numId w:val="11"/>
        </w:numPr>
        <w:spacing w:after="60" w:line="264" w:lineRule="auto"/>
        <w:ind w:left="482"/>
      </w:pPr>
      <w:r>
        <w:rPr>
          <w:rFonts w:ascii="Calibri" w:hAnsi="Calibri"/>
          <w:color w:val="222733"/>
          <w:sz w:val="19"/>
        </w:rPr>
        <w:t>Both open corrective actions (CA-1, CA-2) closed and verified before the first bulk purchase order is released.</w:t>
      </w:r>
    </w:p>
    <w:p>
      <w:pPr>
        <w:numPr>
          <w:ilvl w:val="0"/>
          <w:numId w:val="11"/>
        </w:numPr>
        <w:spacing w:after="60" w:line="264" w:lineRule="auto"/>
        <w:ind w:left="482"/>
      </w:pPr>
      <w:r>
        <w:rPr>
          <w:rFonts w:ascii="Calibri" w:hAnsi="Calibri"/>
          <w:color w:val="222733"/>
          <w:sz w:val="19"/>
        </w:rPr>
        <w:t>Valid OEKO-TEX STANDARD 100 certificate on file, covering every supplied yarn quality, with:</w:t>
      </w:r>
    </w:p>
    <w:p>
      <w:pPr>
        <w:numPr>
          <w:ilvl w:val="1"/>
          <w:numId w:val="11"/>
        </w:numPr>
        <w:spacing w:after="60" w:line="264" w:lineRule="auto"/>
        <w:ind w:left="850"/>
      </w:pPr>
      <w:r>
        <w:rPr>
          <w:rFonts w:ascii="Calibri" w:hAnsi="Calibri"/>
          <w:color w:val="222733"/>
          <w:sz w:val="19"/>
        </w:rPr>
        <w:t>the certificate number and expiry recorded in the supplier master data; and</w:t>
      </w:r>
    </w:p>
    <w:p>
      <w:pPr>
        <w:numPr>
          <w:ilvl w:val="1"/>
          <w:numId w:val="11"/>
        </w:numPr>
        <w:spacing w:after="60" w:line="264" w:lineRule="auto"/>
        <w:ind w:left="850"/>
      </w:pPr>
      <w:r>
        <w:rPr>
          <w:rFonts w:ascii="Calibri" w:hAnsi="Calibri"/>
          <w:color w:val="222733"/>
          <w:sz w:val="19"/>
        </w:rPr>
        <w:t>a renewal-reminder set 60 days before expiry.</w:t>
      </w:r>
    </w:p>
    <w:p>
      <w:pPr>
        <w:numPr>
          <w:ilvl w:val="0"/>
          <w:numId w:val="11"/>
        </w:numPr>
        <w:spacing w:after="60" w:line="264" w:lineRule="auto"/>
        <w:ind w:left="482"/>
      </w:pPr>
      <w:r>
        <w:rPr>
          <w:rFonts w:ascii="Calibri" w:hAnsi="Calibri"/>
          <w:color w:val="222733"/>
          <w:sz w:val="19"/>
        </w:rPr>
        <w:t>Full subcontractor register maintained and updated; any new sub-tier disclosed in advance and Code-of-Conduct flow-down completed.</w:t>
      </w:r>
    </w:p>
    <w:p>
      <w:pPr>
        <w:numPr>
          <w:ilvl w:val="0"/>
          <w:numId w:val="11"/>
        </w:numPr>
        <w:spacing w:after="60" w:line="264" w:lineRule="auto"/>
        <w:ind w:left="482"/>
      </w:pPr>
      <w:r>
        <w:rPr>
          <w:rFonts w:ascii="Calibri" w:hAnsi="Calibri"/>
          <w:color w:val="222733"/>
          <w:sz w:val="19"/>
        </w:rPr>
        <w:t>Six-month follow-up review scheduled (target 2027-01) to confirm sustained compliance and reassess the overall rating.</w:t>
      </w:r>
    </w:p>
    <w:p>
      <w:pPr>
        <w:spacing w:before="200" w:after="80" w:line="254" w:lineRule="auto"/>
        <w:jc w:val="left"/>
      </w:pPr>
      <w:r>
        <w:rPr>
          <w:rFonts w:ascii="Segoe UI" w:hAnsi="Segoe UI"/>
          <w:b/>
          <w:i w:val="0"/>
          <w:color w:val="1B2A4A"/>
          <w:sz w:val="21"/>
        </w:rPr>
        <w:t>Approval signatures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88"/>
        <w:gridCol w:w="3288"/>
        <w:gridCol w:w="3290"/>
      </w:tblGrid>
      <w:tr>
        <w:tc>
          <w:tcPr>
            <w:tcW w:type="dxa" w:w="3288"/>
            <w:tcMar>
              <w:top w:w="120" w:type="dxa"/>
              <w:bottom w:w="20" w:type="dxa"/>
              <w:left w:w="40" w:type="dxa"/>
              <w:right w:w="120" w:type="dxa"/>
            </w:tcMar>
            <w:vAlign w:val="bottom"/>
          </w:tcPr>
          <w:p>
            <w:pPr>
              <w:pBdr>
                <w:bottom w:val="single" w:sz="6" w:space="2" w:color="7A7268"/>
              </w:pBdr>
              <w:spacing w:before="520" w:after="0"/>
            </w:pPr>
            <w:r/>
            <w:r>
              <w:rPr>
                <w:rFonts w:ascii="Calibri" w:hAnsi="Calibri"/>
                <w:i/>
                <w:color w:val="6B7280"/>
                <w:sz w:val="18"/>
              </w:rPr>
              <w:t>S. Lund</w:t>
            </w:r>
          </w:p>
        </w:tc>
        <w:tc>
          <w:tcPr>
            <w:tcW w:type="dxa" w:w="3288"/>
            <w:tcMar>
              <w:top w:w="120" w:type="dxa"/>
              <w:bottom w:w="20" w:type="dxa"/>
              <w:left w:w="40" w:type="dxa"/>
              <w:right w:w="120" w:type="dxa"/>
            </w:tcMar>
            <w:vAlign w:val="bottom"/>
          </w:tcPr>
          <w:p>
            <w:pPr>
              <w:pBdr>
                <w:bottom w:val="single" w:sz="6" w:space="2" w:color="7A7268"/>
              </w:pBdr>
              <w:spacing w:before="520" w:after="0"/>
            </w:pPr>
            <w:r/>
            <w:r>
              <w:rPr>
                <w:rFonts w:ascii="Calibri" w:hAnsi="Calibri"/>
                <w:i/>
                <w:color w:val="6B7280"/>
                <w:sz w:val="18"/>
              </w:rPr>
              <w:t>Q. Mendes</w:t>
            </w:r>
          </w:p>
        </w:tc>
        <w:tc>
          <w:tcPr>
            <w:tcW w:type="dxa" w:w="3290"/>
            <w:tcMar>
              <w:top w:w="120" w:type="dxa"/>
              <w:bottom w:w="20" w:type="dxa"/>
              <w:left w:w="40" w:type="dxa"/>
              <w:right w:w="120" w:type="dxa"/>
            </w:tcMar>
            <w:vAlign w:val="bottom"/>
          </w:tcPr>
          <w:p>
            <w:pPr>
              <w:pBdr>
                <w:bottom w:val="single" w:sz="6" w:space="2" w:color="7A7268"/>
              </w:pBdr>
              <w:spacing w:before="520" w:after="0"/>
            </w:pPr>
            <w:r/>
            <w:r>
              <w:rPr>
                <w:rFonts w:ascii="Calibri" w:hAnsi="Calibri"/>
                <w:i/>
                <w:color w:val="6B7280"/>
                <w:sz w:val="18"/>
              </w:rPr>
              <w:t>A. Ribeiro</w:t>
            </w:r>
          </w:p>
        </w:tc>
      </w:tr>
      <w:tr>
        <w:tc>
          <w:tcPr>
            <w:tcW w:type="dxa" w:w="3288"/>
            <w:tcMar>
              <w:top w:w="30" w:type="dxa"/>
              <w:bottom w:w="20" w:type="dxa"/>
              <w:left w:w="40" w:type="dxa"/>
              <w:right w:w="120" w:type="dxa"/>
            </w:tcMar>
          </w:tcPr>
          <w:p>
            <w:pPr>
              <w:spacing w:after="0"/>
            </w:pPr>
            <w:r/>
            <w:r>
              <w:rPr>
                <w:rFonts w:ascii="Segoe UI" w:hAnsi="Segoe UI"/>
                <w:b/>
                <w:color w:val="1B2A4A"/>
                <w:sz w:val="18"/>
              </w:rPr>
              <w:t>Sourcing Lead</w:t>
            </w:r>
          </w:p>
          <w:p>
            <w:pPr>
              <w:spacing w:before="40"/>
            </w:pPr>
            <w:r>
              <w:rPr>
                <w:rFonts w:ascii="Calibri" w:hAnsi="Calibri"/>
                <w:color w:val="6B7280"/>
                <w:sz w:val="15"/>
              </w:rPr>
              <w:t>Signature / date</w:t>
            </w:r>
          </w:p>
        </w:tc>
        <w:tc>
          <w:tcPr>
            <w:tcW w:type="dxa" w:w="3288"/>
            <w:tcMar>
              <w:top w:w="30" w:type="dxa"/>
              <w:bottom w:w="20" w:type="dxa"/>
              <w:left w:w="40" w:type="dxa"/>
              <w:right w:w="120" w:type="dxa"/>
            </w:tcMar>
          </w:tcPr>
          <w:p>
            <w:pPr>
              <w:spacing w:after="0"/>
            </w:pPr>
            <w:r/>
            <w:r>
              <w:rPr>
                <w:rFonts w:ascii="Segoe UI" w:hAnsi="Segoe UI"/>
                <w:b/>
                <w:color w:val="1B2A4A"/>
                <w:sz w:val="18"/>
              </w:rPr>
              <w:t>Compliance Officer</w:t>
            </w:r>
          </w:p>
          <w:p>
            <w:pPr>
              <w:spacing w:before="40"/>
            </w:pPr>
            <w:r>
              <w:rPr>
                <w:rFonts w:ascii="Calibri" w:hAnsi="Calibri"/>
                <w:color w:val="6B7280"/>
                <w:sz w:val="15"/>
              </w:rPr>
              <w:t>Signature / date</w:t>
            </w:r>
          </w:p>
        </w:tc>
        <w:tc>
          <w:tcPr>
            <w:tcW w:type="dxa" w:w="3290"/>
            <w:tcMar>
              <w:top w:w="30" w:type="dxa"/>
              <w:bottom w:w="20" w:type="dxa"/>
              <w:left w:w="40" w:type="dxa"/>
              <w:right w:w="120" w:type="dxa"/>
            </w:tcMar>
          </w:tcPr>
          <w:p>
            <w:pPr>
              <w:spacing w:after="0"/>
            </w:pPr>
            <w:r/>
            <w:r>
              <w:rPr>
                <w:rFonts w:ascii="Segoe UI" w:hAnsi="Segoe UI"/>
                <w:b/>
                <w:color w:val="1B2A4A"/>
                <w:sz w:val="18"/>
              </w:rPr>
              <w:t>Supplier Representative</w:t>
            </w:r>
          </w:p>
          <w:p>
            <w:pPr>
              <w:spacing w:before="40"/>
            </w:pPr>
            <w:r>
              <w:rPr>
                <w:rFonts w:ascii="Calibri" w:hAnsi="Calibri"/>
                <w:color w:val="6B7280"/>
                <w:sz w:val="15"/>
              </w:rPr>
              <w:t>Signature / date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964" w:right="1020" w:bottom="850" w:left="1020" w:header="56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866" w:val="right"/>
      </w:tabs>
      <w:spacing w:before="40" w:line="240" w:lineRule="auto"/>
      <w:pBdr>
        <w:top w:val="single" w:sz="6" w:space="2" w:color="C9C2B6"/>
      </w:pBdr>
    </w:pPr>
    <w:r/>
    <w:r>
      <w:rPr>
        <w:rFonts w:ascii="Consolas" w:hAnsi="Consolas"/>
        <w:color w:val="6B7280"/>
        <w:sz w:val="16"/>
      </w:rPr>
      <w:t>Rev A  ·  Internal  ·  FW-ONB-2026-0417</w:t>
    </w:r>
    <w:r>
      <w:rPr>
        <w:rFonts w:ascii="Calibri" w:hAnsi="Calibri"/>
        <w:color w:val="6B7280"/>
        <w:sz w:val="16"/>
      </w:rPr>
      <w:tab/>
      <w:t xml:space="preserve">Page </w:t>
    </w:r>
    <w:r/>
    <w:fldSimple w:instr=" PAGE ">
      <w:r>
        <w:rPr>
          <w:rFonts w:ascii="Consolas" w:hAnsi="Consolas"/>
          <w:sz w:val="16"/>
          <w:color w:val="6B7280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866" w:val="right"/>
      </w:tabs>
      <w:spacing w:after="40" w:line="240" w:lineRule="auto"/>
      <w:pBdr>
        <w:bottom w:val="single" w:sz="6" w:space="2" w:color="1B2A4A"/>
      </w:pBdr>
    </w:pPr>
    <w:r/>
    <w:r>
      <w:rPr>
        <w:rFonts w:ascii="Segoe UI" w:hAnsi="Segoe UI"/>
        <w:b/>
        <w:color w:val="1B2A4A"/>
        <w:sz w:val="16"/>
      </w:rPr>
      <w:t>FENWICK KNITWEAR</w:t>
    </w:r>
    <w:r>
      <w:rPr>
        <w:rFonts w:ascii="Calibri" w:hAnsi="Calibri"/>
        <w:color w:val="6B7280"/>
        <w:sz w:val="16"/>
      </w:rPr>
      <w:tab/>
      <w:t>Supplier Onboarding Checklist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multiLevelType w:val="multilevel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0">
    <w:multiLevelType w:val="multilevel"/>
    <w:lvl w:ilvl="0">
      <w:start w:val="1"/>
      <w:numFmt w:val="decimal"/>
      <w:lvlText w:val="%1."/>
      <w:lvlJc w:val="left"/>
      <w:pPr>
        <w:ind w:left="460" w:hanging="360"/>
      </w:pPr>
    </w:lvl>
    <w:lvl w:ilvl="1">
      <w:start w:val="1"/>
      <w:numFmt w:val="decimal"/>
      <w:lvlText w:val="%1.%2."/>
      <w:lvlJc w:val="left"/>
      <w:pPr>
        <w:ind w:left="880" w:hanging="42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4" w:lineRule="auto"/>
    </w:pPr>
    <w:rPr>
      <w:rFonts w:ascii="Calibri" w:hAnsi="Calibri"/>
      <w:color w:val="22273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120" w:line="240" w:lineRule="auto"/>
      <w:outlineLvl w:val="0"/>
    </w:pPr>
    <w:rPr>
      <w:rFonts w:asciiTheme="majorHAnsi" w:eastAsiaTheme="majorEastAsia" w:hAnsiTheme="majorHAnsi" w:cstheme="majorBidi" w:ascii="Segoe UI" w:hAnsi="Segoe UI"/>
      <w:b/>
      <w:bCs/>
      <w:color w:val="1B2A4A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 w:line="240" w:lineRule="auto"/>
      <w:outlineLvl w:val="1"/>
    </w:pPr>
    <w:rPr>
      <w:rFonts w:asciiTheme="majorHAnsi" w:eastAsiaTheme="majorEastAsia" w:hAnsiTheme="majorHAnsi" w:cstheme="majorBidi" w:ascii="Segoe UI" w:hAnsi="Segoe UI"/>
      <w:b/>
      <w:bCs/>
      <w:color w:val="1B2A4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